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napToGrid w:val="0"/>
        <w:spacing w:line="360" w:lineRule="auto"/>
        <w:jc w:val="center"/>
        <w:rPr>
          <w:rFonts w:hint="eastAsia" w:ascii="黑体" w:hAnsi="黑体" w:eastAsia="黑体" w:cs="黑体"/>
          <w:b/>
          <w:bCs/>
          <w:kern w:val="0"/>
          <w:sz w:val="32"/>
          <w:szCs w:val="32"/>
        </w:rPr>
      </w:pPr>
      <w:bookmarkStart w:id="0" w:name="_GoBack"/>
      <w:r>
        <w:rPr>
          <w:rFonts w:hint="eastAsia" w:ascii="黑体" w:hAnsi="黑体" w:eastAsia="黑体" w:cs="黑体"/>
          <w:kern w:val="0"/>
          <w:sz w:val="32"/>
          <w:szCs w:val="32"/>
        </w:rPr>
        <w:t>水利工程建设监理单位“双随机、一公开”抽查事项清单</w:t>
      </w:r>
    </w:p>
    <w:bookmarkEnd w:id="0"/>
    <w:tbl>
      <w:tblPr>
        <w:tblStyle w:val="4"/>
        <w:tblW w:w="0" w:type="auto"/>
        <w:jc w:val="center"/>
        <w:tblLayout w:type="fixed"/>
        <w:tblCellMar>
          <w:top w:w="0" w:type="dxa"/>
          <w:left w:w="108" w:type="dxa"/>
          <w:bottom w:w="0" w:type="dxa"/>
          <w:right w:w="108" w:type="dxa"/>
        </w:tblCellMar>
      </w:tblPr>
      <w:tblGrid>
        <w:gridCol w:w="1065"/>
        <w:gridCol w:w="638"/>
        <w:gridCol w:w="1457"/>
        <w:gridCol w:w="2463"/>
        <w:gridCol w:w="5166"/>
        <w:gridCol w:w="1068"/>
        <w:gridCol w:w="3791"/>
      </w:tblGrid>
      <w:tr>
        <w:tblPrEx>
          <w:tblCellMar>
            <w:top w:w="0" w:type="dxa"/>
            <w:left w:w="108" w:type="dxa"/>
            <w:bottom w:w="0" w:type="dxa"/>
            <w:right w:w="108" w:type="dxa"/>
          </w:tblCellMar>
        </w:tblPrEx>
        <w:trPr>
          <w:trHeight w:val="555" w:hRule="atLeast"/>
          <w:tblHeader/>
          <w:jc w:val="center"/>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检查类别</w:t>
            </w:r>
          </w:p>
        </w:tc>
        <w:tc>
          <w:tcPr>
            <w:tcW w:w="6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1457"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检查事项</w:t>
            </w:r>
          </w:p>
        </w:tc>
        <w:tc>
          <w:tcPr>
            <w:tcW w:w="24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检查依据</w:t>
            </w:r>
          </w:p>
        </w:tc>
        <w:tc>
          <w:tcPr>
            <w:tcW w:w="516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检查内容</w:t>
            </w:r>
          </w:p>
        </w:tc>
        <w:tc>
          <w:tcPr>
            <w:tcW w:w="106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检查方式</w:t>
            </w:r>
          </w:p>
        </w:tc>
        <w:tc>
          <w:tcPr>
            <w:tcW w:w="379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检查方法</w:t>
            </w:r>
          </w:p>
        </w:tc>
      </w:tr>
      <w:tr>
        <w:tblPrEx>
          <w:tblCellMar>
            <w:top w:w="0" w:type="dxa"/>
            <w:left w:w="108" w:type="dxa"/>
            <w:bottom w:w="0" w:type="dxa"/>
            <w:right w:w="108" w:type="dxa"/>
          </w:tblCellMar>
        </w:tblPrEx>
        <w:trPr>
          <w:trHeight w:val="90" w:hRule="atLeast"/>
          <w:jc w:val="center"/>
        </w:trPr>
        <w:tc>
          <w:tcPr>
            <w:tcW w:w="1065" w:type="dxa"/>
            <w:vMerge w:val="restart"/>
            <w:tcBorders>
              <w:left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监理资质</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资质等级证书</w:t>
            </w:r>
          </w:p>
        </w:tc>
        <w:tc>
          <w:tcPr>
            <w:tcW w:w="246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《水利工程建设监理单位资质管理办法》第十一条、第十五条</w:t>
            </w:r>
          </w:p>
        </w:tc>
        <w:tc>
          <w:tcPr>
            <w:tcW w:w="5166"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资质等级证书中监理单位的名称、地址、法定代表人、技术负责人等信息，与营业执照和单位实际情况是否一致</w:t>
            </w:r>
          </w:p>
        </w:tc>
        <w:tc>
          <w:tcPr>
            <w:tcW w:w="1068"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查阅资质等级证书、营业执照等相关材料，现场检查实际情况</w:t>
            </w:r>
          </w:p>
        </w:tc>
      </w:tr>
      <w:tr>
        <w:tblPrEx>
          <w:tblCellMar>
            <w:top w:w="0" w:type="dxa"/>
            <w:left w:w="108" w:type="dxa"/>
            <w:bottom w:w="0" w:type="dxa"/>
            <w:right w:w="108" w:type="dxa"/>
          </w:tblCellMar>
        </w:tblPrEx>
        <w:trPr>
          <w:trHeight w:val="852" w:hRule="atLeast"/>
          <w:jc w:val="center"/>
        </w:trPr>
        <w:tc>
          <w:tcPr>
            <w:tcW w:w="1065"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技术负责人</w:t>
            </w:r>
          </w:p>
        </w:tc>
        <w:tc>
          <w:tcPr>
            <w:tcW w:w="246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《水利工程建设监理单位资质管理办法》附件一</w:t>
            </w:r>
          </w:p>
        </w:tc>
        <w:tc>
          <w:tcPr>
            <w:tcW w:w="5166"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技术负责人是否具有高级专业技术职称，</w:t>
            </w:r>
            <w:r>
              <w:rPr>
                <w:rFonts w:hint="eastAsia" w:ascii="仿宋_GB2312" w:hAnsi="仿宋_GB2312" w:eastAsia="仿宋_GB2312" w:cs="仿宋_GB2312"/>
                <w:i w:val="0"/>
                <w:caps w:val="0"/>
                <w:color w:val="000000"/>
                <w:spacing w:val="0"/>
                <w:kern w:val="0"/>
                <w:sz w:val="18"/>
                <w:szCs w:val="18"/>
                <w:shd w:val="clear" w:color="auto" w:fill="auto"/>
              </w:rPr>
              <w:t>并取得监理工程师资格证书</w:t>
            </w:r>
          </w:p>
        </w:tc>
        <w:tc>
          <w:tcPr>
            <w:tcW w:w="106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网络检查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查阅技术负责人职称证书、资格证书、劳动合同、社会保险凭证等相关材料，查询水利建设市场监管平台填报信息</w:t>
            </w:r>
          </w:p>
        </w:tc>
      </w:tr>
      <w:tr>
        <w:tblPrEx>
          <w:tblCellMar>
            <w:top w:w="0" w:type="dxa"/>
            <w:left w:w="108" w:type="dxa"/>
            <w:bottom w:w="0" w:type="dxa"/>
            <w:right w:w="108" w:type="dxa"/>
          </w:tblCellMar>
        </w:tblPrEx>
        <w:trPr>
          <w:trHeight w:val="852" w:hRule="atLeast"/>
          <w:jc w:val="center"/>
        </w:trPr>
        <w:tc>
          <w:tcPr>
            <w:tcW w:w="1065"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信用信息</w:t>
            </w:r>
          </w:p>
        </w:tc>
        <w:tc>
          <w:tcPr>
            <w:tcW w:w="2463" w:type="dxa"/>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《水利建设市场主体信用信息管理办法》第十二条</w:t>
            </w:r>
          </w:p>
        </w:tc>
        <w:tc>
          <w:tcPr>
            <w:tcW w:w="5166"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是否依法依规在水利建设市场</w:t>
            </w:r>
            <w:r>
              <w:rPr>
                <w:rFonts w:hint="eastAsia" w:ascii="仿宋_GB2312" w:hAnsi="仿宋_GB2312" w:eastAsia="仿宋_GB2312" w:cs="仿宋_GB2312"/>
                <w:color w:val="000000"/>
                <w:kern w:val="0"/>
                <w:sz w:val="18"/>
                <w:szCs w:val="18"/>
                <w:lang w:eastAsia="zh-CN"/>
              </w:rPr>
              <w:t>监管</w:t>
            </w:r>
            <w:r>
              <w:rPr>
                <w:rFonts w:hint="eastAsia" w:ascii="仿宋_GB2312" w:hAnsi="仿宋_GB2312" w:eastAsia="仿宋_GB2312" w:cs="仿宋_GB2312"/>
                <w:color w:val="000000"/>
                <w:kern w:val="0"/>
                <w:sz w:val="18"/>
                <w:szCs w:val="18"/>
              </w:rPr>
              <w:t>平台填报基本信息和良好行为记录信息，并对信息的真实性、及时性负责</w:t>
            </w:r>
          </w:p>
        </w:tc>
        <w:tc>
          <w:tcPr>
            <w:tcW w:w="106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网络检查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查询水利建设市场监管平台填报信息，现场检查实际情况</w:t>
            </w:r>
          </w:p>
        </w:tc>
      </w:tr>
      <w:tr>
        <w:tblPrEx>
          <w:tblCellMar>
            <w:top w:w="0" w:type="dxa"/>
            <w:left w:w="108" w:type="dxa"/>
            <w:bottom w:w="0" w:type="dxa"/>
            <w:right w:w="108" w:type="dxa"/>
          </w:tblCellMar>
        </w:tblPrEx>
        <w:trPr>
          <w:trHeight w:val="2160" w:hRule="atLeast"/>
          <w:jc w:val="center"/>
        </w:trPr>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监理行为</w:t>
            </w:r>
          </w:p>
        </w:tc>
        <w:tc>
          <w:tcPr>
            <w:tcW w:w="638"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14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监理资质使用</w:t>
            </w:r>
          </w:p>
        </w:tc>
        <w:tc>
          <w:tcPr>
            <w:tcW w:w="246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《水利工程建设监理规定》第七条、第二十七条，《水利工程建设监理单位资质管理办法》第七条，《建设工程质量管理条例》第三十四条、第六十条</w:t>
            </w:r>
          </w:p>
        </w:tc>
        <w:tc>
          <w:tcPr>
            <w:tcW w:w="5166"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是否存在下列行为：（一）</w:t>
            </w:r>
            <w:r>
              <w:rPr>
                <w:rFonts w:hint="eastAsia" w:ascii="仿宋_GB2312" w:hAnsi="仿宋_GB2312" w:eastAsia="仿宋_GB2312" w:cs="仿宋_GB2312"/>
                <w:i w:val="0"/>
                <w:caps w:val="0"/>
                <w:color w:val="000000"/>
                <w:spacing w:val="0"/>
                <w:kern w:val="0"/>
                <w:sz w:val="18"/>
                <w:szCs w:val="18"/>
                <w:shd w:val="clear" w:color="auto" w:fill="auto"/>
              </w:rPr>
              <w:t>超越本单位资质等级许可的业务范围承揽监理业务</w:t>
            </w:r>
            <w:r>
              <w:rPr>
                <w:rFonts w:hint="eastAsia" w:ascii="仿宋_GB2312" w:hAnsi="仿宋_GB2312" w:eastAsia="仿宋_GB2312" w:cs="仿宋_GB2312"/>
                <w:color w:val="000000"/>
                <w:kern w:val="0"/>
                <w:sz w:val="18"/>
                <w:szCs w:val="18"/>
              </w:rPr>
              <w:t>；（二）未取得相应资质等级证书承揽监理业务；（三）以欺骗手段取得的资质等级证书承揽业务</w:t>
            </w:r>
          </w:p>
        </w:tc>
        <w:tc>
          <w:tcPr>
            <w:tcW w:w="1068"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查阅监理合同、初步设计批复文件、招标文件等相关材料，与资质等级证书进行对比核查</w:t>
            </w:r>
          </w:p>
        </w:tc>
      </w:tr>
      <w:tr>
        <w:tblPrEx>
          <w:tblCellMar>
            <w:top w:w="0" w:type="dxa"/>
            <w:left w:w="108" w:type="dxa"/>
            <w:bottom w:w="0" w:type="dxa"/>
            <w:right w:w="108" w:type="dxa"/>
          </w:tblCellMar>
        </w:tblPrEx>
        <w:trPr>
          <w:trHeight w:val="90"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63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1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2463" w:type="dxa"/>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FF0000"/>
                <w:kern w:val="0"/>
                <w:sz w:val="18"/>
                <w:szCs w:val="18"/>
              </w:rPr>
            </w:pPr>
            <w:r>
              <w:rPr>
                <w:rFonts w:hint="eastAsia" w:ascii="仿宋_GB2312" w:hAnsi="仿宋_GB2312" w:eastAsia="仿宋_GB2312" w:cs="仿宋_GB2312"/>
                <w:color w:val="000000"/>
                <w:kern w:val="0"/>
                <w:sz w:val="18"/>
                <w:szCs w:val="18"/>
              </w:rPr>
              <w:t>《水利工程建设监理规定》第九条、第二十七条，《建设工程质量管理条例》第三十四条、第六十一条、第六十二条</w:t>
            </w:r>
          </w:p>
        </w:tc>
        <w:tc>
          <w:tcPr>
            <w:tcW w:w="5166"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FF0000"/>
                <w:kern w:val="0"/>
                <w:sz w:val="18"/>
                <w:szCs w:val="18"/>
              </w:rPr>
            </w:pPr>
            <w:r>
              <w:rPr>
                <w:rFonts w:hint="eastAsia" w:ascii="仿宋_GB2312" w:hAnsi="仿宋_GB2312" w:eastAsia="仿宋_GB2312" w:cs="仿宋_GB2312"/>
                <w:color w:val="000000"/>
                <w:kern w:val="0"/>
                <w:sz w:val="18"/>
                <w:szCs w:val="18"/>
              </w:rPr>
              <w:t>是否存在下列行为：（一）允许其他单位或个人以本单位名义承揽监理业务；（二）转让监理业务</w:t>
            </w:r>
          </w:p>
        </w:tc>
        <w:tc>
          <w:tcPr>
            <w:tcW w:w="1068"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FF0000"/>
                <w:kern w:val="0"/>
                <w:sz w:val="18"/>
                <w:szCs w:val="18"/>
              </w:rPr>
            </w:pPr>
            <w:r>
              <w:rPr>
                <w:rFonts w:hint="eastAsia" w:ascii="仿宋_GB2312" w:hAnsi="仿宋_GB2312" w:eastAsia="仿宋_GB2312" w:cs="仿宋_GB2312"/>
                <w:kern w:val="0"/>
                <w:sz w:val="18"/>
                <w:szCs w:val="18"/>
              </w:rPr>
              <w:t>查阅监理合同、付款记录、单位监理人员名册、现场监理部人员组成文件等相关材料，检查现场监理部人员配备、监理文件签署情况</w:t>
            </w:r>
          </w:p>
        </w:tc>
      </w:tr>
      <w:tr>
        <w:tblPrEx>
          <w:tblCellMar>
            <w:top w:w="0" w:type="dxa"/>
            <w:left w:w="108" w:type="dxa"/>
            <w:bottom w:w="0" w:type="dxa"/>
            <w:right w:w="108" w:type="dxa"/>
          </w:tblCellMar>
        </w:tblPrEx>
        <w:trPr>
          <w:trHeight w:val="804"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63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14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监理人员配备</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《水利工程建设监理规定》第十条、第三十条</w:t>
            </w:r>
          </w:p>
        </w:tc>
        <w:tc>
          <w:tcPr>
            <w:tcW w:w="5166"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w:t>
            </w:r>
            <w:r>
              <w:rPr>
                <w:rFonts w:hint="eastAsia" w:ascii="仿宋_GB2312" w:hAnsi="仿宋_GB2312" w:eastAsia="仿宋_GB2312" w:cs="仿宋_GB2312"/>
                <w:color w:val="000000"/>
                <w:kern w:val="0"/>
                <w:sz w:val="18"/>
                <w:szCs w:val="18"/>
                <w:lang w:eastAsia="zh-CN"/>
              </w:rPr>
              <w:t>以下行为：</w:t>
            </w:r>
            <w:r>
              <w:rPr>
                <w:rFonts w:hint="eastAsia" w:ascii="仿宋_GB2312" w:hAnsi="仿宋_GB2312" w:eastAsia="仿宋_GB2312" w:cs="仿宋_GB2312"/>
                <w:color w:val="000000"/>
                <w:kern w:val="0"/>
                <w:sz w:val="18"/>
                <w:szCs w:val="18"/>
              </w:rPr>
              <w:t>聘用无相应监理人员资格的人员从事监理业务</w:t>
            </w:r>
          </w:p>
        </w:tc>
        <w:tc>
          <w:tcPr>
            <w:tcW w:w="1068"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网络检查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查阅单位监理人员名册、监理部人员组成文件、资格证书、社会保险凭证等相关材料，查询水利建设市场监管平台填报信息</w:t>
            </w:r>
          </w:p>
        </w:tc>
      </w:tr>
      <w:tr>
        <w:tblPrEx>
          <w:tblCellMar>
            <w:top w:w="0" w:type="dxa"/>
            <w:left w:w="108" w:type="dxa"/>
            <w:bottom w:w="0" w:type="dxa"/>
            <w:right w:w="108" w:type="dxa"/>
          </w:tblCellMar>
        </w:tblPrEx>
        <w:trPr>
          <w:trHeight w:val="1046"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638"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1457"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《水利工程建设监理规定》第十条</w:t>
            </w:r>
          </w:p>
        </w:tc>
        <w:tc>
          <w:tcPr>
            <w:tcW w:w="5166"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w:t>
            </w:r>
            <w:r>
              <w:rPr>
                <w:rFonts w:hint="eastAsia" w:ascii="仿宋_GB2312" w:hAnsi="仿宋_GB2312" w:eastAsia="仿宋_GB2312" w:cs="仿宋_GB2312"/>
                <w:color w:val="000000"/>
                <w:kern w:val="0"/>
                <w:sz w:val="18"/>
                <w:szCs w:val="18"/>
                <w:lang w:eastAsia="zh-CN"/>
              </w:rPr>
              <w:t>以下行为：</w:t>
            </w:r>
            <w:r>
              <w:rPr>
                <w:rFonts w:hint="eastAsia" w:ascii="仿宋_GB2312" w:hAnsi="仿宋_GB2312" w:eastAsia="仿宋_GB2312" w:cs="仿宋_GB2312"/>
                <w:color w:val="000000"/>
                <w:kern w:val="0"/>
                <w:sz w:val="18"/>
                <w:szCs w:val="18"/>
              </w:rPr>
              <w:t>监理人员同时在两个以上水利工程项目从事监理业务</w:t>
            </w:r>
          </w:p>
        </w:tc>
        <w:tc>
          <w:tcPr>
            <w:tcW w:w="1068"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网络检查</w:t>
            </w:r>
          </w:p>
        </w:tc>
        <w:tc>
          <w:tcPr>
            <w:tcW w:w="3791"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查阅监理合同、监理部人员组成文件、考勤记录等相关材料，查询水利建设市场监管平台填报信息</w:t>
            </w:r>
          </w:p>
        </w:tc>
      </w:tr>
      <w:tr>
        <w:tblPrEx>
          <w:tblCellMar>
            <w:top w:w="0" w:type="dxa"/>
            <w:left w:w="108" w:type="dxa"/>
            <w:bottom w:w="0" w:type="dxa"/>
            <w:right w:w="108" w:type="dxa"/>
          </w:tblCellMar>
        </w:tblPrEx>
        <w:trPr>
          <w:trHeight w:val="1125"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63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1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《水利工程建设监理规定》第十条、第十一条，《建设工程质量管理条例》第三十七条</w:t>
            </w:r>
          </w:p>
        </w:tc>
        <w:tc>
          <w:tcPr>
            <w:tcW w:w="5166"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是否按照监理合同，选派满足监理工作要求且具备相应资格的监理工程师进驻施工现场；选派的总监理工程师是否具有工程类高级专业技术职称</w:t>
            </w:r>
          </w:p>
        </w:tc>
        <w:tc>
          <w:tcPr>
            <w:tcW w:w="1068"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抽取监理项目现场检查，查阅监理合同、监理部人员组成文件、资格证书、职称证书、考勤记录等相关材料</w:t>
            </w:r>
          </w:p>
        </w:tc>
      </w:tr>
      <w:tr>
        <w:tblPrEx>
          <w:tblCellMar>
            <w:top w:w="0" w:type="dxa"/>
            <w:left w:w="108" w:type="dxa"/>
            <w:bottom w:w="0" w:type="dxa"/>
            <w:right w:w="108" w:type="dxa"/>
          </w:tblCellMar>
        </w:tblPrEx>
        <w:trPr>
          <w:trHeight w:val="690"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6</w:t>
            </w:r>
          </w:p>
        </w:tc>
        <w:tc>
          <w:tcPr>
            <w:tcW w:w="14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kern w:val="0"/>
                <w:sz w:val="18"/>
                <w:szCs w:val="18"/>
              </w:rPr>
              <w:t>监理质量行为</w:t>
            </w:r>
          </w:p>
        </w:tc>
        <w:tc>
          <w:tcPr>
            <w:tcW w:w="246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FF0000"/>
                <w:kern w:val="0"/>
                <w:sz w:val="18"/>
                <w:szCs w:val="18"/>
              </w:rPr>
            </w:pPr>
            <w:r>
              <w:rPr>
                <w:rFonts w:hint="eastAsia" w:ascii="仿宋_GB2312" w:hAnsi="仿宋_GB2312" w:eastAsia="仿宋_GB2312" w:cs="仿宋_GB2312"/>
                <w:color w:val="000000"/>
                <w:kern w:val="0"/>
                <w:sz w:val="18"/>
                <w:szCs w:val="18"/>
              </w:rPr>
              <w:t>《水利工程建设监理规定》第十五条、第二十七条，《建设工程质量管理条例》第六十七条</w:t>
            </w:r>
          </w:p>
        </w:tc>
        <w:tc>
          <w:tcPr>
            <w:tcW w:w="5166"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FF0000"/>
                <w:kern w:val="0"/>
                <w:sz w:val="18"/>
                <w:szCs w:val="18"/>
              </w:rPr>
            </w:pPr>
            <w:r>
              <w:rPr>
                <w:rFonts w:hint="eastAsia" w:ascii="仿宋_GB2312" w:hAnsi="仿宋_GB2312" w:eastAsia="仿宋_GB2312" w:cs="仿宋_GB2312"/>
                <w:kern w:val="0"/>
                <w:sz w:val="18"/>
                <w:szCs w:val="18"/>
              </w:rPr>
              <w:t>是否存在下列行为：（一）与建设单位或者施工单位串通</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弄虚作假，降低工程</w:t>
            </w:r>
            <w:r>
              <w:rPr>
                <w:rFonts w:hint="eastAsia" w:ascii="仿宋_GB2312" w:hAnsi="仿宋_GB2312" w:eastAsia="仿宋_GB2312" w:cs="仿宋_GB2312"/>
                <w:i w:val="0"/>
                <w:caps w:val="0"/>
                <w:spacing w:val="0"/>
                <w:kern w:val="0"/>
                <w:sz w:val="18"/>
                <w:szCs w:val="18"/>
                <w:shd w:val="clear" w:color="auto" w:fill="auto"/>
              </w:rPr>
              <w:t>或设备质量</w:t>
            </w:r>
            <w:r>
              <w:rPr>
                <w:rFonts w:hint="eastAsia" w:ascii="仿宋_GB2312" w:hAnsi="仿宋_GB2312" w:eastAsia="仿宋_GB2312" w:cs="仿宋_GB2312"/>
                <w:kern w:val="0"/>
                <w:sz w:val="18"/>
                <w:szCs w:val="18"/>
              </w:rPr>
              <w:t>；（二）将不合格的</w:t>
            </w:r>
            <w:r>
              <w:rPr>
                <w:rFonts w:hint="eastAsia" w:ascii="仿宋_GB2312" w:hAnsi="仿宋_GB2312" w:eastAsia="仿宋_GB2312" w:cs="仿宋_GB2312"/>
                <w:i w:val="0"/>
                <w:caps w:val="0"/>
                <w:spacing w:val="0"/>
                <w:kern w:val="0"/>
                <w:sz w:val="18"/>
                <w:szCs w:val="18"/>
                <w:shd w:val="clear" w:color="auto" w:fill="auto"/>
              </w:rPr>
              <w:t>建设工程、建筑材料、建筑构配件和设备按照合格签字</w:t>
            </w:r>
          </w:p>
        </w:tc>
        <w:tc>
          <w:tcPr>
            <w:tcW w:w="1068"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791"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FF0000"/>
                <w:kern w:val="0"/>
                <w:sz w:val="18"/>
                <w:szCs w:val="18"/>
              </w:rPr>
            </w:pPr>
            <w:r>
              <w:rPr>
                <w:rFonts w:hint="eastAsia" w:ascii="仿宋_GB2312" w:hAnsi="仿宋_GB2312" w:eastAsia="仿宋_GB2312" w:cs="仿宋_GB2312"/>
                <w:color w:val="000000"/>
                <w:kern w:val="0"/>
                <w:sz w:val="18"/>
                <w:szCs w:val="18"/>
              </w:rPr>
              <w:t>抽取监理项目现场检查，查阅</w:t>
            </w:r>
            <w:r>
              <w:rPr>
                <w:rFonts w:hint="eastAsia" w:ascii="仿宋_GB2312" w:hAnsi="仿宋_GB2312" w:eastAsia="仿宋_GB2312" w:cs="仿宋_GB2312"/>
                <w:kern w:val="0"/>
                <w:sz w:val="18"/>
                <w:szCs w:val="18"/>
              </w:rPr>
              <w:t>质量评定资料，原材料、构配件和设备进场报验等相关材料</w:t>
            </w:r>
          </w:p>
        </w:tc>
      </w:tr>
      <w:tr>
        <w:tblPrEx>
          <w:tblCellMar>
            <w:top w:w="0" w:type="dxa"/>
            <w:left w:w="108" w:type="dxa"/>
            <w:bottom w:w="0" w:type="dxa"/>
            <w:right w:w="108" w:type="dxa"/>
          </w:tblCellMar>
        </w:tblPrEx>
        <w:trPr>
          <w:trHeight w:val="1684"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1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246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《水利工程建设监理规定》第十条、第二十七条，《建设工程质量管理条例》第三十五条、第六十八条</w:t>
            </w:r>
          </w:p>
        </w:tc>
        <w:tc>
          <w:tcPr>
            <w:tcW w:w="5166"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w:t>
            </w:r>
            <w:r>
              <w:rPr>
                <w:rFonts w:hint="eastAsia" w:ascii="仿宋_GB2312" w:hAnsi="仿宋_GB2312" w:eastAsia="仿宋_GB2312" w:cs="仿宋_GB2312"/>
                <w:color w:val="000000"/>
                <w:kern w:val="0"/>
                <w:sz w:val="18"/>
                <w:szCs w:val="18"/>
                <w:lang w:eastAsia="zh-CN"/>
              </w:rPr>
              <w:t>以下行为：</w:t>
            </w:r>
            <w:r>
              <w:rPr>
                <w:rFonts w:hint="eastAsia" w:ascii="仿宋_GB2312" w:hAnsi="仿宋_GB2312" w:eastAsia="仿宋_GB2312" w:cs="仿宋_GB2312"/>
                <w:color w:val="000000"/>
                <w:kern w:val="0"/>
                <w:sz w:val="18"/>
                <w:szCs w:val="18"/>
              </w:rPr>
              <w:t>与被监理工程的施工承包单位以及建筑材料、建筑构配件和设备供应单位有隶属关系或者其他利害关系，承担该项建设工程监理业务</w:t>
            </w:r>
          </w:p>
        </w:tc>
        <w:tc>
          <w:tcPr>
            <w:tcW w:w="1068"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网络检查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抽取监理项目现场检查，查阅监理单位企业章程、</w:t>
            </w:r>
            <w:r>
              <w:rPr>
                <w:rFonts w:hint="eastAsia" w:ascii="仿宋_GB2312" w:hAnsi="仿宋_GB2312" w:eastAsia="仿宋_GB2312" w:cs="仿宋_GB2312"/>
                <w:color w:val="000000"/>
                <w:kern w:val="0"/>
                <w:sz w:val="18"/>
                <w:szCs w:val="18"/>
                <w:lang w:eastAsia="zh-CN"/>
              </w:rPr>
              <w:t>监理项目</w:t>
            </w:r>
            <w:r>
              <w:rPr>
                <w:rFonts w:hint="eastAsia" w:ascii="仿宋_GB2312" w:hAnsi="仿宋_GB2312" w:eastAsia="仿宋_GB2312" w:cs="仿宋_GB2312"/>
                <w:color w:val="000000"/>
                <w:kern w:val="0"/>
                <w:sz w:val="18"/>
                <w:szCs w:val="18"/>
              </w:rPr>
              <w:t>的施工承包单位以及建筑材料、建筑构配件和设备供应等单位名单，可通过网络平台查询相关单位隶属关系或者其他利害关系</w:t>
            </w:r>
          </w:p>
        </w:tc>
      </w:tr>
      <w:tr>
        <w:tblPrEx>
          <w:tblCellMar>
            <w:top w:w="0" w:type="dxa"/>
            <w:left w:w="108" w:type="dxa"/>
            <w:bottom w:w="0" w:type="dxa"/>
            <w:right w:w="108" w:type="dxa"/>
          </w:tblCellMar>
        </w:tblPrEx>
        <w:trPr>
          <w:trHeight w:val="1518"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1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246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《水利工程建设监理规定》第十五条，《建设工程质量管理条例》第三十八条</w:t>
            </w:r>
          </w:p>
        </w:tc>
        <w:tc>
          <w:tcPr>
            <w:tcW w:w="5166"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是否按照监理规范的要求，采取旁站、巡视、跟踪检测和平行检测等方式实施监理，发现问题是否及时纠正、报告</w:t>
            </w:r>
          </w:p>
        </w:tc>
        <w:tc>
          <w:tcPr>
            <w:tcW w:w="1068"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抽取监理项目现场检查，查阅监理实施细则、监理日志、旁站记录、平行检测记录和跟踪检测记录等相关材料</w:t>
            </w:r>
          </w:p>
        </w:tc>
      </w:tr>
      <w:tr>
        <w:tblPrEx>
          <w:tblCellMar>
            <w:top w:w="0" w:type="dxa"/>
            <w:left w:w="108" w:type="dxa"/>
            <w:bottom w:w="0" w:type="dxa"/>
            <w:right w:w="108" w:type="dxa"/>
          </w:tblCellMar>
        </w:tblPrEx>
        <w:trPr>
          <w:trHeight w:val="1713"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1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2463"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《水利工程建设监理规定》第十四条、第十五条、第十七条，《建设工程质量管理条例》第三十七条</w:t>
            </w:r>
          </w:p>
        </w:tc>
        <w:tc>
          <w:tcPr>
            <w:tcW w:w="5166"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一）未经总监理工程师签字，施工图用于施工；（二）未经监理工程师签字，建筑材料、建筑构配件和设备已在工程上使用或者安装，施工单位已进行下一道工序施工；（三）未经总监理工程师签字，项目法人已支付工程款</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（四）未经总监理工程师签字，工程已竣工验收</w:t>
            </w:r>
          </w:p>
        </w:tc>
        <w:tc>
          <w:tcPr>
            <w:tcW w:w="1068"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抽取监理项目现场检查，查阅施工图、进场报验材料，工序报验材料、付款凭证、竣工验收报告等相关材料</w:t>
            </w:r>
          </w:p>
        </w:tc>
      </w:tr>
      <w:tr>
        <w:tblPrEx>
          <w:tblCellMar>
            <w:top w:w="0" w:type="dxa"/>
            <w:left w:w="108" w:type="dxa"/>
            <w:bottom w:w="0" w:type="dxa"/>
            <w:right w:w="108" w:type="dxa"/>
          </w:tblCellMar>
        </w:tblPrEx>
        <w:trPr>
          <w:trHeight w:val="1108"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18"/>
                <w:szCs w:val="18"/>
              </w:rPr>
            </w:pPr>
          </w:p>
        </w:tc>
        <w:tc>
          <w:tcPr>
            <w:tcW w:w="1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2463"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《水利工程建设监理规定》第三十条</w:t>
            </w:r>
          </w:p>
        </w:tc>
        <w:tc>
          <w:tcPr>
            <w:tcW w:w="5166"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是否存在隐瞒有关情况、拒绝提供材料或者提供虚假材料的行为</w:t>
            </w:r>
          </w:p>
        </w:tc>
        <w:tc>
          <w:tcPr>
            <w:tcW w:w="1068"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询问核查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查阅相关资料，现场检查实际情况，询问相关人员核查</w:t>
            </w:r>
          </w:p>
        </w:tc>
      </w:tr>
      <w:tr>
        <w:tblPrEx>
          <w:tblCellMar>
            <w:top w:w="0" w:type="dxa"/>
            <w:left w:w="108" w:type="dxa"/>
            <w:bottom w:w="0" w:type="dxa"/>
            <w:right w:w="108" w:type="dxa"/>
          </w:tblCellMar>
        </w:tblPrEx>
        <w:trPr>
          <w:trHeight w:val="2032"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7</w:t>
            </w:r>
          </w:p>
        </w:tc>
        <w:tc>
          <w:tcPr>
            <w:tcW w:w="145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监理安全行为</w:t>
            </w:r>
          </w:p>
        </w:tc>
        <w:tc>
          <w:tcPr>
            <w:tcW w:w="246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《水利工程建设监理规定》第十八条、第二十九条，《建设工程安全生产管理条例》第十四条、第五十七条</w:t>
            </w:r>
          </w:p>
        </w:tc>
        <w:tc>
          <w:tcPr>
            <w:tcW w:w="5166"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一）未对施工组织设计中的安全技术措施或者专项施工方案进行审查；（二）发现安全事故隐患未及时要求施工单位整改或者暂时停止施工；（三）施工单位拒不整改或者不停止施工，未及时向有关水行政主管部门或者流域</w:t>
            </w:r>
            <w:r>
              <w:rPr>
                <w:rFonts w:hint="eastAsia" w:ascii="仿宋_GB2312" w:hAnsi="仿宋_GB2312" w:eastAsia="仿宋_GB2312" w:cs="仿宋_GB2312"/>
                <w:color w:val="000000"/>
                <w:kern w:val="0"/>
                <w:sz w:val="18"/>
                <w:szCs w:val="18"/>
                <w:lang w:eastAsia="zh-CN"/>
              </w:rPr>
              <w:t>管理</w:t>
            </w:r>
            <w:r>
              <w:rPr>
                <w:rFonts w:hint="eastAsia" w:ascii="仿宋_GB2312" w:hAnsi="仿宋_GB2312" w:eastAsia="仿宋_GB2312" w:cs="仿宋_GB2312"/>
                <w:color w:val="000000"/>
                <w:kern w:val="0"/>
                <w:sz w:val="18"/>
                <w:szCs w:val="18"/>
              </w:rPr>
              <w:t>机构报告；（四）未依照法律、法规和工程建设强制性标准实施监理</w:t>
            </w:r>
          </w:p>
        </w:tc>
        <w:tc>
          <w:tcPr>
            <w:tcW w:w="1068"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现场检查、书面检查</w:t>
            </w:r>
          </w:p>
        </w:tc>
        <w:tc>
          <w:tcPr>
            <w:tcW w:w="3791" w:type="dxa"/>
            <w:tcBorders>
              <w:top w:val="nil"/>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抽取监理项目现场检查，查阅监理日志、监理通知书等相关材料</w:t>
            </w:r>
          </w:p>
        </w:tc>
      </w:tr>
    </w:tbl>
    <w:p>
      <w:pPr>
        <w:pStyle w:val="2"/>
        <w:ind w:firstLine="640"/>
        <w:rPr>
          <w:rFonts w:ascii="仿宋_GB2312" w:hAnsi="仿宋_GB2312" w:eastAsia="仿宋_GB2312" w:cs="仿宋_GB2312"/>
          <w:bCs/>
          <w:sz w:val="32"/>
          <w:szCs w:val="32"/>
        </w:rPr>
      </w:pPr>
    </w:p>
    <w:p>
      <w:pPr>
        <w:pStyle w:val="2"/>
        <w:ind w:firstLine="640"/>
        <w:rPr>
          <w:rFonts w:ascii="仿宋_GB2312" w:hAnsi="仿宋_GB2312" w:eastAsia="仿宋_GB2312" w:cs="仿宋_GB2312"/>
          <w:bCs/>
          <w:sz w:val="32"/>
          <w:szCs w:val="32"/>
        </w:rPr>
      </w:pPr>
    </w:p>
    <w:p>
      <w:pPr>
        <w:pStyle w:val="2"/>
        <w:ind w:firstLine="640"/>
        <w:rPr>
          <w:rFonts w:ascii="仿宋_GB2312" w:hAnsi="仿宋_GB2312" w:eastAsia="仿宋_GB2312" w:cs="仿宋_GB2312"/>
          <w:bCs/>
          <w:sz w:val="32"/>
          <w:szCs w:val="32"/>
        </w:rPr>
      </w:pPr>
    </w:p>
    <w:p>
      <w:pPr>
        <w:snapToGrid w:val="0"/>
        <w:spacing w:line="360" w:lineRule="auto"/>
        <w:jc w:val="center"/>
        <w:rPr>
          <w:rFonts w:hint="eastAsia" w:ascii="黑体" w:hAnsi="黑体" w:eastAsia="黑体" w:cs="黑体"/>
          <w:sz w:val="32"/>
          <w:szCs w:val="32"/>
        </w:rPr>
      </w:pPr>
      <w:r>
        <w:rPr>
          <w:rFonts w:hint="eastAsia" w:ascii="黑体" w:hAnsi="黑体" w:eastAsia="黑体" w:cs="黑体"/>
          <w:kern w:val="0"/>
          <w:sz w:val="32"/>
          <w:szCs w:val="32"/>
        </w:rPr>
        <w:t>水利工程甲级质量检测单位“双随机、一公开”抽查事项清单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13"/>
        <w:gridCol w:w="1354"/>
        <w:gridCol w:w="2631"/>
        <w:gridCol w:w="4989"/>
        <w:gridCol w:w="1131"/>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1100" w:type="dxa"/>
            <w:noWrap w:val="0"/>
            <w:vAlign w:val="center"/>
          </w:tcPr>
          <w:p>
            <w:pPr>
              <w:widowControl/>
              <w:spacing w:line="240" w:lineRule="exact"/>
              <w:jc w:val="center"/>
              <w:rPr>
                <w:rFonts w:ascii="黑体" w:hAnsi="黑体" w:eastAsia="黑体" w:cs="黑体"/>
                <w:color w:val="000000"/>
                <w:kern w:val="0"/>
                <w:szCs w:val="21"/>
              </w:rPr>
            </w:pPr>
            <w:r>
              <w:rPr>
                <w:rFonts w:hint="eastAsia" w:ascii="黑体" w:hAnsi="黑体" w:eastAsia="黑体" w:cs="黑体"/>
                <w:color w:val="000000"/>
                <w:kern w:val="0"/>
                <w:szCs w:val="21"/>
              </w:rPr>
              <w:t>检查类别</w:t>
            </w:r>
          </w:p>
        </w:tc>
        <w:tc>
          <w:tcPr>
            <w:tcW w:w="713" w:type="dxa"/>
            <w:noWrap w:val="0"/>
            <w:vAlign w:val="center"/>
          </w:tcPr>
          <w:p>
            <w:pPr>
              <w:widowControl/>
              <w:spacing w:line="240" w:lineRule="exac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1354" w:type="dxa"/>
            <w:noWrap w:val="0"/>
            <w:vAlign w:val="center"/>
          </w:tcPr>
          <w:p>
            <w:pPr>
              <w:widowControl/>
              <w:spacing w:line="240" w:lineRule="exact"/>
              <w:jc w:val="center"/>
              <w:rPr>
                <w:rFonts w:ascii="黑体" w:hAnsi="黑体" w:eastAsia="黑体" w:cs="黑体"/>
                <w:color w:val="000000"/>
                <w:kern w:val="0"/>
                <w:szCs w:val="21"/>
              </w:rPr>
            </w:pPr>
            <w:r>
              <w:rPr>
                <w:rFonts w:hint="eastAsia" w:ascii="黑体" w:hAnsi="黑体" w:eastAsia="黑体" w:cs="黑体"/>
                <w:color w:val="000000"/>
                <w:kern w:val="0"/>
                <w:szCs w:val="21"/>
              </w:rPr>
              <w:t>检查事项</w:t>
            </w:r>
          </w:p>
        </w:tc>
        <w:tc>
          <w:tcPr>
            <w:tcW w:w="2631" w:type="dxa"/>
            <w:noWrap w:val="0"/>
            <w:vAlign w:val="center"/>
          </w:tcPr>
          <w:p>
            <w:pPr>
              <w:widowControl/>
              <w:spacing w:line="240" w:lineRule="exact"/>
              <w:jc w:val="center"/>
              <w:rPr>
                <w:rFonts w:ascii="黑体" w:hAnsi="黑体" w:eastAsia="黑体" w:cs="黑体"/>
                <w:color w:val="000000"/>
                <w:kern w:val="0"/>
                <w:szCs w:val="21"/>
              </w:rPr>
            </w:pPr>
            <w:r>
              <w:rPr>
                <w:rFonts w:hint="eastAsia" w:ascii="黑体" w:hAnsi="黑体" w:eastAsia="黑体" w:cs="黑体"/>
                <w:color w:val="000000"/>
                <w:kern w:val="0"/>
                <w:szCs w:val="21"/>
              </w:rPr>
              <w:t>检查依据</w:t>
            </w:r>
          </w:p>
        </w:tc>
        <w:tc>
          <w:tcPr>
            <w:tcW w:w="4989" w:type="dxa"/>
            <w:noWrap w:val="0"/>
            <w:vAlign w:val="center"/>
          </w:tcPr>
          <w:p>
            <w:pPr>
              <w:widowControl/>
              <w:tabs>
                <w:tab w:val="left" w:pos="4465"/>
              </w:tabs>
              <w:spacing w:line="240" w:lineRule="exact"/>
              <w:jc w:val="center"/>
              <w:rPr>
                <w:rFonts w:ascii="黑体" w:hAnsi="黑体" w:eastAsia="黑体" w:cs="黑体"/>
                <w:color w:val="000000"/>
                <w:kern w:val="0"/>
                <w:szCs w:val="21"/>
              </w:rPr>
            </w:pPr>
            <w:r>
              <w:rPr>
                <w:rFonts w:hint="eastAsia" w:ascii="黑体" w:hAnsi="黑体" w:eastAsia="黑体" w:cs="黑体"/>
                <w:color w:val="000000"/>
                <w:kern w:val="0"/>
                <w:szCs w:val="21"/>
              </w:rPr>
              <w:t>检查内容</w:t>
            </w:r>
          </w:p>
        </w:tc>
        <w:tc>
          <w:tcPr>
            <w:tcW w:w="1131" w:type="dxa"/>
            <w:noWrap w:val="0"/>
            <w:vAlign w:val="center"/>
          </w:tcPr>
          <w:p>
            <w:pPr>
              <w:widowControl/>
              <w:spacing w:line="240" w:lineRule="exact"/>
              <w:jc w:val="center"/>
              <w:rPr>
                <w:rFonts w:ascii="黑体" w:hAnsi="黑体" w:eastAsia="黑体" w:cs="黑体"/>
                <w:color w:val="000000"/>
                <w:kern w:val="0"/>
                <w:szCs w:val="21"/>
              </w:rPr>
            </w:pPr>
            <w:r>
              <w:rPr>
                <w:rFonts w:hint="eastAsia" w:ascii="黑体" w:hAnsi="黑体" w:eastAsia="黑体" w:cs="黑体"/>
                <w:color w:val="000000"/>
                <w:kern w:val="0"/>
                <w:szCs w:val="21"/>
              </w:rPr>
              <w:t>检查方式</w:t>
            </w:r>
          </w:p>
        </w:tc>
        <w:tc>
          <w:tcPr>
            <w:tcW w:w="3659" w:type="dxa"/>
            <w:noWrap w:val="0"/>
            <w:vAlign w:val="center"/>
          </w:tcPr>
          <w:p>
            <w:pPr>
              <w:widowControl/>
              <w:spacing w:line="240" w:lineRule="exact"/>
              <w:jc w:val="center"/>
              <w:rPr>
                <w:rFonts w:ascii="黑体" w:hAnsi="黑体" w:eastAsia="黑体" w:cs="黑体"/>
                <w:color w:val="000000"/>
                <w:kern w:val="0"/>
                <w:szCs w:val="21"/>
              </w:rPr>
            </w:pPr>
            <w:r>
              <w:rPr>
                <w:rFonts w:hint="eastAsia" w:ascii="黑体" w:hAnsi="黑体" w:eastAsia="黑体" w:cs="黑体"/>
                <w:color w:val="000000"/>
                <w:kern w:val="0"/>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restart"/>
            <w:noWrap w:val="0"/>
            <w:vAlign w:val="center"/>
          </w:tcPr>
          <w:p>
            <w:r>
              <w:rPr>
                <w:rFonts w:hint="eastAsia" w:ascii="仿宋_GB2312" w:hAnsi="仿宋_GB2312" w:eastAsia="仿宋_GB2312" w:cs="仿宋_GB2312"/>
                <w:color w:val="000000"/>
                <w:kern w:val="0"/>
                <w:sz w:val="18"/>
                <w:szCs w:val="18"/>
              </w:rPr>
              <w:t>检测资质</w:t>
            </w:r>
          </w:p>
          <w:p>
            <w:pPr>
              <w:widowControl/>
              <w:jc w:val="center"/>
              <w:rPr>
                <w:rFonts w:ascii="仿宋_GB2312" w:hAnsi="仿宋_GB2312" w:eastAsia="仿宋_GB2312" w:cs="仿宋_GB2312"/>
                <w:color w:val="000000"/>
                <w:kern w:val="0"/>
                <w:sz w:val="18"/>
                <w:szCs w:val="18"/>
              </w:rPr>
            </w:pPr>
          </w:p>
        </w:tc>
        <w:tc>
          <w:tcPr>
            <w:tcW w:w="713" w:type="dxa"/>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1354" w:type="dxa"/>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质量检测单位</w:t>
            </w:r>
            <w:r>
              <w:rPr>
                <w:rFonts w:hint="eastAsia" w:ascii="仿宋_GB2312" w:hAnsi="仿宋_GB2312" w:eastAsia="仿宋_GB2312" w:cs="仿宋_GB2312"/>
                <w:color w:val="000000"/>
                <w:kern w:val="0"/>
                <w:sz w:val="18"/>
                <w:szCs w:val="18"/>
              </w:rPr>
              <w:t>资质等级证书</w:t>
            </w: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《水利工程质量检测管理规定》第六条、第十条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资质等级证书中检测单位的名称、地址、法定代表人、技术负责人等信息，与营业执照（或事业单位法人证书）和单位实际情况是否一致</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查阅资质等级证书、营业执照等相关材料，现场检查实际情况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1354" w:type="dxa"/>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检验检测机构</w:t>
            </w:r>
            <w:r>
              <w:rPr>
                <w:rFonts w:hint="eastAsia" w:ascii="仿宋_GB2312" w:hAnsi="仿宋_GB2312" w:eastAsia="仿宋_GB2312" w:cs="仿宋_GB2312"/>
                <w:color w:val="000000"/>
                <w:kern w:val="0"/>
                <w:sz w:val="18"/>
                <w:szCs w:val="18"/>
              </w:rPr>
              <w:t>资质认定证书</w:t>
            </w:r>
          </w:p>
        </w:tc>
        <w:tc>
          <w:tcPr>
            <w:tcW w:w="2631" w:type="dxa"/>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《水利工程质量检测管理规定》第六条，《水利部关于发布水利工程质量检测单位资质等级标准的公告》</w:t>
            </w:r>
          </w:p>
        </w:tc>
        <w:tc>
          <w:tcPr>
            <w:tcW w:w="4989"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资质认定证书是否在有效期内；资质认定证书中地址与单位实际情况是否一致；资质认定证书附表中参数是否满足《水利部关于发布水利工程质量检测单位资质等级标准的公告》中对检测能力的要求</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查阅资质认定证书，核对证书有效期、地址、附表中参数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1354"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人员配备</w:t>
            </w: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《水利工程质量检测管理规定》第四条，《水利部关于发布水利工程质量检测单位资质等级标准的公告》</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技术负责人是否具有10年以上从事水利水电工程建设相关工作经历，并具有水利水电专业高级以上技术职称</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查阅劳动合同、社会保险凭证、职称证书、资格证书等相关材料，查询水利建设市场监管平台填报信息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1354"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《水利工程质量检测管理规定》第四条，《水利部关于发布水利工程质量检测单位资质等级标准的公告》</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检测人员是否具有水利工程质量检测员职业资格或者具备水利水电工程及相关专业中级以上技术职称，并不少于15人</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查阅单位检测人员名册、劳动合同、社会保险凭证、职称证书、资格证书等相关材料，查询水利建设市场监管平台填报信息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1354"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技术管理和</w:t>
            </w:r>
          </w:p>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质量保证体系</w:t>
            </w:r>
          </w:p>
        </w:tc>
        <w:tc>
          <w:tcPr>
            <w:tcW w:w="2631" w:type="dxa"/>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《水利工程质量检测管理规定》第十三条，《水利部关于发布水利工程质量检测单位资质等级标准的公告》</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是否具有健全的技术管理和质量保证体系，是否</w:t>
            </w:r>
            <w:r>
              <w:rPr>
                <w:rFonts w:hint="eastAsia" w:ascii="仿宋_GB2312" w:hAnsi="仿宋_GB2312" w:eastAsia="仿宋_GB2312" w:cs="仿宋_GB2312"/>
                <w:color w:val="000000"/>
                <w:kern w:val="0"/>
                <w:sz w:val="18"/>
                <w:szCs w:val="18"/>
                <w:highlight w:val="none"/>
              </w:rPr>
              <w:t>建立和保持</w:t>
            </w:r>
            <w:r>
              <w:rPr>
                <w:rFonts w:hint="eastAsia" w:ascii="仿宋_GB2312" w:hAnsi="仿宋_GB2312" w:eastAsia="仿宋_GB2312" w:cs="仿宋_GB2312"/>
                <w:color w:val="000000"/>
                <w:kern w:val="0"/>
                <w:sz w:val="18"/>
                <w:szCs w:val="18"/>
              </w:rPr>
              <w:t>人员管理程序，是否明确技术人员、管理人员的岗位职责</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询问核查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查阅质量手册、程序文件、制度文件等相关资料，询问技术负责人、质量负责人、授权签字人等相关人员核查实际情况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1354"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《水利工程质量检测管理规定》第十九条、第二十七条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建立档案管理制度；检测合同、委托单、原始记录、质量检测报告是否按年度统一编号，编号是否连续，是否存在随意抽撤、涂改的行为；是否单独建立检测结果不合格台账；是否存在档案资料管理混乱，造成检测数据无法追溯的行为</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现场检查、书面检查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查阅制度文件、检测合同、委托单、原始记录、检测报告、检测业务台账、检测结果不合格台账等相关材料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1354"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场所环境</w:t>
            </w:r>
          </w:p>
        </w:tc>
        <w:tc>
          <w:tcPr>
            <w:tcW w:w="2631" w:type="dxa"/>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《水利工程质量检测管理规定》第九条、第十三条、第二十一条，《</w:t>
            </w:r>
            <w:r>
              <w:rPr>
                <w:rFonts w:hint="eastAsia" w:ascii="仿宋_GB2312" w:hAnsi="仿宋_GB2312" w:eastAsia="仿宋_GB2312" w:cs="仿宋_GB2312"/>
                <w:color w:val="000000"/>
                <w:kern w:val="0"/>
                <w:sz w:val="18"/>
                <w:szCs w:val="18"/>
                <w:highlight w:val="none"/>
              </w:rPr>
              <w:t>检验检测机构资质认定管理办法》</w:t>
            </w:r>
            <w:r>
              <w:rPr>
                <w:rFonts w:hint="eastAsia" w:ascii="仿宋_GB2312" w:hAnsi="仿宋_GB2312" w:eastAsia="仿宋_GB2312" w:cs="仿宋_GB2312"/>
                <w:color w:val="000000"/>
                <w:kern w:val="0"/>
                <w:sz w:val="18"/>
                <w:szCs w:val="18"/>
              </w:rPr>
              <w:t>第九条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是否具有固定的工作场所，工作环境是否满足检验检测要求</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检查单位母体试验室；若单位承揽业务中有设立工地试验室的，可视情况抽查其工地试验室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w:t>
            </w:r>
          </w:p>
        </w:tc>
        <w:tc>
          <w:tcPr>
            <w:tcW w:w="1354" w:type="dxa"/>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设备设施</w:t>
            </w:r>
          </w:p>
        </w:tc>
        <w:tc>
          <w:tcPr>
            <w:tcW w:w="2631" w:type="dxa"/>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《水利工程质量检测管理规定》第九条、第十三条、第二十一条，《检验检测机构资质认定管理办法》第九条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是否具备从事检验检测活动所必需的检验检测设备设施；设备设施是否满足检测能力的要求；仪器设备是否按照有关标准和规定要求运行、核查、检定和校准</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检查设备设施配备情况，查阅仪器设备清单，以及运行、核查、检定和校准记录等相关材料，核对资质认定参数附表中参数对应的检测方法所需的仪器设备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w:t>
            </w:r>
          </w:p>
        </w:tc>
        <w:tc>
          <w:tcPr>
            <w:tcW w:w="1354" w:type="dxa"/>
            <w:noWrap w:val="0"/>
            <w:vAlign w:val="center"/>
          </w:tcPr>
          <w:p>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信用信息</w:t>
            </w:r>
          </w:p>
        </w:tc>
        <w:tc>
          <w:tcPr>
            <w:tcW w:w="26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《水利建设市场主体信用信息管理办法》第十二条</w:t>
            </w:r>
          </w:p>
        </w:tc>
        <w:tc>
          <w:tcPr>
            <w:tcW w:w="4989" w:type="dxa"/>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是否依法依规在水利建设市场监管平台填报基本信息和良好行为记录信息，并对信息的真实性、及时性负责</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网络检查</w:t>
            </w:r>
          </w:p>
        </w:tc>
        <w:tc>
          <w:tcPr>
            <w:tcW w:w="3659" w:type="dxa"/>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查询水利建设市场监管平台填报信息，现场检查实际情况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w:t>
            </w:r>
          </w:p>
        </w:tc>
        <w:tc>
          <w:tcPr>
            <w:tcW w:w="1354" w:type="dxa"/>
            <w:noWrap w:val="0"/>
            <w:vAlign w:val="center"/>
          </w:tcPr>
          <w:p>
            <w:pPr>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检测能力</w:t>
            </w:r>
          </w:p>
        </w:tc>
        <w:tc>
          <w:tcPr>
            <w:tcW w:w="2631" w:type="dxa"/>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《水利工程质量检测管理规定》第三条、第二十二条，《水利部关于发布水利工程质量检测单位资质等级标准的公告》</w:t>
            </w:r>
          </w:p>
        </w:tc>
        <w:tc>
          <w:tcPr>
            <w:tcW w:w="498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是否具备岩土工程类、混凝土工程类、金属结构类、机械电气类和量测类检测能力要求</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试验操作</w:t>
            </w:r>
          </w:p>
        </w:tc>
        <w:tc>
          <w:tcPr>
            <w:tcW w:w="3659" w:type="dxa"/>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根据抽查对象的资质类别，抽取每个类别中对工程质量安全影响较大的1-2个参数，进行现场检测或演示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restart"/>
            <w:noWrap w:val="0"/>
            <w:vAlign w:val="center"/>
          </w:tcPr>
          <w:p>
            <w:r>
              <w:rPr>
                <w:rFonts w:hint="eastAsia" w:ascii="仿宋_GB2312" w:hAnsi="仿宋_GB2312" w:eastAsia="仿宋_GB2312" w:cs="仿宋_GB2312"/>
                <w:color w:val="000000"/>
                <w:kern w:val="0"/>
                <w:sz w:val="18"/>
                <w:szCs w:val="18"/>
              </w:rPr>
              <w:t>检测行为</w:t>
            </w:r>
          </w:p>
          <w:p>
            <w:pPr>
              <w:widowControl/>
              <w:jc w:val="center"/>
              <w:rPr>
                <w:rFonts w:ascii="仿宋_GB2312" w:hAnsi="仿宋_GB2312" w:eastAsia="仿宋_GB2312" w:cs="仿宋_GB2312"/>
                <w:color w:val="000000"/>
                <w:kern w:val="0"/>
                <w:sz w:val="18"/>
                <w:szCs w:val="18"/>
              </w:rPr>
            </w:pPr>
          </w:p>
        </w:tc>
        <w:tc>
          <w:tcPr>
            <w:tcW w:w="713" w:type="dxa"/>
            <w:vMerge w:val="restart"/>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w:t>
            </w:r>
          </w:p>
        </w:tc>
        <w:tc>
          <w:tcPr>
            <w:tcW w:w="1354"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质量</w:t>
            </w:r>
            <w:r>
              <w:rPr>
                <w:rFonts w:hint="eastAsia" w:ascii="仿宋_GB2312" w:hAnsi="仿宋_GB2312" w:eastAsia="仿宋_GB2312" w:cs="仿宋_GB2312"/>
                <w:color w:val="000000"/>
                <w:kern w:val="0"/>
                <w:sz w:val="18"/>
                <w:szCs w:val="18"/>
              </w:rPr>
              <w:t>检测</w:t>
            </w:r>
            <w:r>
              <w:rPr>
                <w:rFonts w:hint="eastAsia" w:ascii="仿宋_GB2312" w:hAnsi="仿宋_GB2312" w:eastAsia="仿宋_GB2312" w:cs="仿宋_GB2312"/>
                <w:color w:val="000000"/>
                <w:kern w:val="0"/>
                <w:sz w:val="18"/>
                <w:szCs w:val="18"/>
                <w:lang w:eastAsia="zh-CN"/>
              </w:rPr>
              <w:t>单位</w:t>
            </w:r>
            <w:r>
              <w:rPr>
                <w:rFonts w:hint="eastAsia" w:ascii="仿宋_GB2312" w:hAnsi="仿宋_GB2312" w:eastAsia="仿宋_GB2312" w:cs="仿宋_GB2312"/>
                <w:color w:val="000000"/>
                <w:kern w:val="0"/>
                <w:sz w:val="18"/>
                <w:szCs w:val="18"/>
              </w:rPr>
              <w:t>资质使用</w:t>
            </w: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《水利工程质量检测管理规定》第三条、第二十一条、第二十四条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是否存在未取得相应资质，擅自承担检测业务的行为</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查阅检测业务台账、检测合同、检测报告、付款记录等相关材料，与资质等级证书和资质认定证书进行对比核查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hint="eastAsia" w:ascii="仿宋_GB2312" w:hAnsi="仿宋_GB2312" w:eastAsia="仿宋_GB2312" w:cs="仿宋_GB2312"/>
                <w:color w:val="000000"/>
                <w:kern w:val="0"/>
                <w:sz w:val="18"/>
                <w:szCs w:val="18"/>
              </w:rPr>
            </w:pPr>
          </w:p>
        </w:tc>
        <w:tc>
          <w:tcPr>
            <w:tcW w:w="713" w:type="dxa"/>
            <w:vMerge w:val="continue"/>
            <w:noWrap w:val="0"/>
            <w:vAlign w:val="center"/>
          </w:tcPr>
          <w:p>
            <w:pPr>
              <w:widowControl/>
              <w:jc w:val="center"/>
              <w:rPr>
                <w:rFonts w:hint="eastAsia" w:ascii="仿宋_GB2312" w:hAnsi="仿宋_GB2312" w:eastAsia="仿宋_GB2312" w:cs="仿宋_GB2312"/>
                <w:color w:val="000000"/>
                <w:kern w:val="0"/>
                <w:sz w:val="18"/>
                <w:szCs w:val="18"/>
              </w:rPr>
            </w:pPr>
          </w:p>
        </w:tc>
        <w:tc>
          <w:tcPr>
            <w:tcW w:w="1354" w:type="dxa"/>
            <w:vMerge w:val="continue"/>
            <w:noWrap w:val="0"/>
            <w:vAlign w:val="center"/>
          </w:tcPr>
          <w:p>
            <w:pPr>
              <w:widowControl/>
              <w:jc w:val="center"/>
              <w:rPr>
                <w:rFonts w:hint="eastAsia" w:ascii="仿宋_GB2312" w:hAnsi="仿宋_GB2312" w:eastAsia="仿宋_GB2312" w:cs="仿宋_GB2312"/>
                <w:color w:val="000000"/>
                <w:kern w:val="0"/>
                <w:sz w:val="18"/>
                <w:szCs w:val="18"/>
              </w:rPr>
            </w:pPr>
          </w:p>
        </w:tc>
        <w:tc>
          <w:tcPr>
            <w:tcW w:w="2631" w:type="dxa"/>
            <w:noWrap w:val="0"/>
            <w:vAlign w:val="center"/>
          </w:tcPr>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《水利工程质量检测管理规定》第三条、第二十一条、第二十七条，《检验检测机构资质认定管理办法》</w:t>
            </w:r>
            <w:r>
              <w:rPr>
                <w:rFonts w:hint="eastAsia" w:ascii="仿宋_GB2312" w:hAnsi="仿宋_GB2312" w:eastAsia="仿宋_GB2312" w:cs="仿宋_GB2312"/>
                <w:color w:val="000000"/>
                <w:kern w:val="0"/>
                <w:sz w:val="18"/>
                <w:szCs w:val="18"/>
                <w:lang w:eastAsia="zh-CN"/>
              </w:rPr>
              <w:t>第三十六条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是否存在下列行为：（一）超出资质等级范围从事检测活动；（二）超出资质认定证书规定的检验检测能力范围，擅自向社会出具具有证明作用数据、结果</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659" w:type="dxa"/>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查阅检测业务台账、检测合同、检测报告等相关材料，与资质等级证书和资质认定证书进行对比核查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1354"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《水利工程质量检测管理规定》第十二条、第二十一条、第二十七条</w:t>
            </w:r>
          </w:p>
        </w:tc>
        <w:tc>
          <w:tcPr>
            <w:tcW w:w="4989"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是否存在涂改、倒卖、出租、出借或者其他形式非法转让资质等级证书的行为</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网络检查、</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询问核查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查阅资质等级证书、检测合同、检测报告、付款记录等相关材料，查询相关网络平台有无投诉举报等信息，询问相关人员核查实际情况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1354"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《水利工程质量检测管理规定》第十四条、第二十一条、第二十七条</w:t>
            </w:r>
          </w:p>
        </w:tc>
        <w:tc>
          <w:tcPr>
            <w:tcW w:w="4989" w:type="dxa"/>
            <w:noWrap w:val="0"/>
            <w:vAlign w:val="center"/>
          </w:tcPr>
          <w:p>
            <w:pPr>
              <w:widowControl/>
              <w:jc w:val="left"/>
              <w:rPr>
                <w:rFonts w:hint="eastAsia" w:ascii="仿宋_GB2312" w:hAnsi="仿宋_GB2312" w:eastAsia="宋体" w:cs="仿宋_GB2312"/>
                <w:color w:val="000000"/>
                <w:kern w:val="0"/>
                <w:sz w:val="18"/>
                <w:szCs w:val="18"/>
                <w:lang w:eastAsia="zh-CN"/>
              </w:rPr>
            </w:pPr>
            <w:r>
              <w:rPr>
                <w:rFonts w:hint="eastAsia" w:ascii="仿宋_GB2312" w:hAnsi="仿宋_GB2312" w:eastAsia="仿宋_GB2312" w:cs="仿宋_GB2312"/>
                <w:color w:val="000000"/>
                <w:kern w:val="0"/>
                <w:sz w:val="18"/>
                <w:szCs w:val="18"/>
              </w:rPr>
              <w:t>是否存在下列行为：（一）转包质量检测业务；（二）未经委托方同意，分包质量检测业务</w:t>
            </w:r>
            <w:r>
              <w:rPr>
                <w:rFonts w:hint="eastAsia" w:ascii="仿宋_GB2312" w:hAnsi="仿宋_GB2312" w:eastAsia="仿宋_GB2312" w:cs="仿宋_GB2312"/>
                <w:color w:val="000000"/>
                <w:kern w:val="0"/>
                <w:sz w:val="18"/>
                <w:szCs w:val="18"/>
                <w:lang w:eastAsia="zh-CN"/>
              </w:rPr>
              <w:t>；（三）</w:t>
            </w:r>
            <w:r>
              <w:rPr>
                <w:rFonts w:hint="eastAsia" w:ascii="仿宋_GB2312" w:hAnsi="仿宋_GB2312" w:eastAsia="仿宋_GB2312" w:cs="仿宋_GB2312"/>
                <w:i w:val="0"/>
                <w:caps w:val="0"/>
                <w:color w:val="000000"/>
                <w:spacing w:val="0"/>
                <w:kern w:val="0"/>
                <w:sz w:val="18"/>
                <w:szCs w:val="18"/>
                <w:shd w:val="clear" w:color="auto" w:fill="auto"/>
              </w:rPr>
              <w:t>租借、挂靠资质</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询问核查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查阅检测合同、检测方案、检测报告、原始记录等相关材料，询问相关人员核查实际情况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1354"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《水利工程质量检测管理规定》第二十五条、第二十六条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w:t>
            </w:r>
            <w:r>
              <w:rPr>
                <w:rFonts w:hint="eastAsia" w:ascii="仿宋_GB2312" w:hAnsi="仿宋_GB2312" w:eastAsia="仿宋_GB2312" w:cs="仿宋_GB2312"/>
                <w:color w:val="000000"/>
                <w:kern w:val="0"/>
                <w:sz w:val="18"/>
                <w:szCs w:val="18"/>
                <w:lang w:eastAsia="zh-CN"/>
              </w:rPr>
              <w:t>（一）</w:t>
            </w:r>
            <w:r>
              <w:rPr>
                <w:rFonts w:hint="eastAsia" w:ascii="仿宋_GB2312" w:hAnsi="仿宋_GB2312" w:eastAsia="仿宋_GB2312" w:cs="仿宋_GB2312"/>
                <w:color w:val="000000"/>
                <w:kern w:val="0"/>
                <w:sz w:val="18"/>
                <w:szCs w:val="18"/>
              </w:rPr>
              <w:t>隐瞒有关情况或者提供虚假材料申请资质</w:t>
            </w:r>
            <w:r>
              <w:rPr>
                <w:rFonts w:hint="eastAsia" w:ascii="仿宋_GB2312" w:hAnsi="仿宋_GB2312" w:eastAsia="仿宋_GB2312" w:cs="仿宋_GB2312"/>
                <w:color w:val="000000"/>
                <w:kern w:val="0"/>
                <w:sz w:val="18"/>
                <w:szCs w:val="18"/>
                <w:lang w:eastAsia="zh-CN"/>
              </w:rPr>
              <w:t>；（二）</w:t>
            </w:r>
            <w:r>
              <w:rPr>
                <w:rFonts w:hint="eastAsia" w:ascii="仿宋_GB2312" w:hAnsi="仿宋_GB2312" w:eastAsia="仿宋_GB2312" w:cs="仿宋_GB2312"/>
                <w:i w:val="0"/>
                <w:caps w:val="0"/>
                <w:color w:val="000000"/>
                <w:spacing w:val="0"/>
                <w:kern w:val="0"/>
                <w:sz w:val="18"/>
                <w:szCs w:val="18"/>
                <w:shd w:val="clear" w:color="auto" w:fill="auto"/>
              </w:rPr>
              <w:t>以欺骗、贿赂等不正当手段取得资质等级证书</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网络检查、</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询问核查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查阅检测合同、检测报告等相关材料，检查单位实际情况是否满足资质等级要求，若不满足则与其申请资质材料对比，查询网站上资质申报材料，询问相关人员核查实际情况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restart"/>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w:t>
            </w:r>
          </w:p>
        </w:tc>
        <w:tc>
          <w:tcPr>
            <w:tcW w:w="1354" w:type="dxa"/>
            <w:vMerge w:val="restart"/>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检测报告</w:t>
            </w: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《水利工程质量检测管理规定》第四条、第二十一条、第二十七条</w:t>
            </w:r>
          </w:p>
        </w:tc>
        <w:tc>
          <w:tcPr>
            <w:tcW w:w="4989"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是否存在下列行为：（一）使用不符合条件的检测人员；（二）未按照规定在质量检测报告上签字盖章</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检测报告、原始记录、职称证书、资格证书等相关材料，检查检测报告或证书签发人的姓名、签字或等效标识和签发日期，核查授权签字人、检测试验人员是否满足条件要求，核对授权签字人授权签字领域，检查检测报告或证书的盖章情况（检测专用章、单位公章、CMA章、骑缝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1354"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《水利工程质量检测管理规定》第十七条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w:t>
            </w:r>
            <w:r>
              <w:rPr>
                <w:rFonts w:hint="eastAsia" w:ascii="仿宋_GB2312" w:hAnsi="仿宋_GB2312" w:eastAsia="仿宋_GB2312" w:cs="仿宋_GB2312"/>
                <w:i w:val="0"/>
                <w:caps w:val="0"/>
                <w:color w:val="000000"/>
                <w:spacing w:val="0"/>
                <w:kern w:val="0"/>
                <w:sz w:val="18"/>
                <w:szCs w:val="18"/>
                <w:shd w:val="clear" w:color="auto" w:fill="auto"/>
              </w:rPr>
              <w:t>按照合同和有关标准</w:t>
            </w:r>
            <w:r>
              <w:rPr>
                <w:rFonts w:hint="eastAsia" w:ascii="仿宋_GB2312" w:hAnsi="仿宋_GB2312" w:eastAsia="仿宋_GB2312" w:cs="仿宋_GB2312"/>
                <w:color w:val="000000"/>
                <w:kern w:val="0"/>
                <w:sz w:val="18"/>
                <w:szCs w:val="18"/>
              </w:rPr>
              <w:t>及时、准确地向委托方提交质量检测报告</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659" w:type="dxa"/>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查阅检测合同、委托单、检测报告、原始记录等相关材料，核对委托日期、取样日期、检测日期、报告签发日期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1354"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《水利工程质量检测管理规定》第十七条、第二十条、第二十八条、第三十条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w:t>
            </w:r>
            <w:r>
              <w:rPr>
                <w:rFonts w:hint="eastAsia" w:ascii="仿宋_GB2312" w:hAnsi="仿宋_GB2312" w:eastAsia="仿宋_GB2312" w:cs="仿宋_GB2312"/>
                <w:color w:val="000000"/>
                <w:kern w:val="0"/>
                <w:sz w:val="18"/>
                <w:szCs w:val="18"/>
                <w:lang w:eastAsia="zh-CN"/>
              </w:rPr>
              <w:t>（一）出具</w:t>
            </w:r>
            <w:r>
              <w:rPr>
                <w:rFonts w:hint="eastAsia" w:ascii="仿宋_GB2312" w:hAnsi="仿宋_GB2312" w:eastAsia="仿宋_GB2312" w:cs="仿宋_GB2312"/>
                <w:color w:val="000000"/>
                <w:kern w:val="0"/>
                <w:sz w:val="18"/>
                <w:szCs w:val="18"/>
              </w:rPr>
              <w:t>虚假</w:t>
            </w:r>
            <w:r>
              <w:rPr>
                <w:rFonts w:hint="eastAsia" w:ascii="仿宋_GB2312" w:hAnsi="仿宋_GB2312" w:eastAsia="仿宋_GB2312" w:cs="仿宋_GB2312"/>
                <w:color w:val="000000"/>
                <w:kern w:val="0"/>
                <w:sz w:val="18"/>
                <w:szCs w:val="18"/>
                <w:lang w:eastAsia="zh-CN"/>
              </w:rPr>
              <w:t>质量</w:t>
            </w:r>
            <w:r>
              <w:rPr>
                <w:rFonts w:hint="eastAsia" w:ascii="仿宋_GB2312" w:hAnsi="仿宋_GB2312" w:eastAsia="仿宋_GB2312" w:cs="仿宋_GB2312"/>
                <w:color w:val="000000"/>
                <w:kern w:val="0"/>
                <w:sz w:val="18"/>
                <w:szCs w:val="18"/>
              </w:rPr>
              <w:t>检测报告</w:t>
            </w:r>
            <w:r>
              <w:rPr>
                <w:rFonts w:hint="eastAsia" w:ascii="仿宋_GB2312" w:hAnsi="仿宋_GB2312" w:eastAsia="仿宋_GB2312" w:cs="仿宋_GB2312"/>
                <w:color w:val="000000"/>
                <w:kern w:val="0"/>
                <w:sz w:val="18"/>
                <w:szCs w:val="18"/>
                <w:lang w:eastAsia="zh-CN"/>
              </w:rPr>
              <w:t>；（二）</w:t>
            </w:r>
            <w:r>
              <w:rPr>
                <w:rFonts w:hint="eastAsia" w:ascii="仿宋_GB2312" w:hAnsi="仿宋_GB2312" w:eastAsia="仿宋_GB2312" w:cs="仿宋_GB2312"/>
                <w:i w:val="0"/>
                <w:caps w:val="0"/>
                <w:color w:val="000000"/>
                <w:spacing w:val="0"/>
                <w:kern w:val="0"/>
                <w:sz w:val="18"/>
                <w:szCs w:val="18"/>
                <w:shd w:val="clear" w:color="auto" w:fill="auto"/>
              </w:rPr>
              <w:t>篡改或伪造质量检测报告</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i w:val="0"/>
                <w:caps w:val="0"/>
                <w:color w:val="000000"/>
                <w:spacing w:val="0"/>
                <w:kern w:val="0"/>
                <w:sz w:val="18"/>
                <w:szCs w:val="18"/>
                <w:shd w:val="clear" w:color="auto" w:fill="auto"/>
                <w:lang w:eastAsia="zh-CN"/>
              </w:rPr>
              <w:t>（三）</w:t>
            </w:r>
            <w:r>
              <w:rPr>
                <w:rFonts w:hint="eastAsia" w:ascii="仿宋_GB2312" w:hAnsi="仿宋_GB2312" w:eastAsia="仿宋_GB2312" w:cs="仿宋_GB2312"/>
                <w:i w:val="0"/>
                <w:caps w:val="0"/>
                <w:color w:val="000000"/>
                <w:spacing w:val="0"/>
                <w:kern w:val="0"/>
                <w:sz w:val="18"/>
                <w:szCs w:val="18"/>
                <w:shd w:val="clear" w:color="auto" w:fill="auto"/>
              </w:rPr>
              <w:t>不如实记录</w:t>
            </w:r>
            <w:r>
              <w:rPr>
                <w:rFonts w:hint="eastAsia" w:ascii="仿宋_GB2312" w:hAnsi="仿宋_GB2312" w:eastAsia="仿宋_GB2312" w:cs="仿宋_GB2312"/>
                <w:i w:val="0"/>
                <w:caps w:val="0"/>
                <w:color w:val="000000"/>
                <w:spacing w:val="0"/>
                <w:kern w:val="0"/>
                <w:sz w:val="18"/>
                <w:szCs w:val="18"/>
                <w:shd w:val="clear" w:color="auto" w:fill="auto"/>
                <w:lang w:eastAsia="zh-CN"/>
              </w:rPr>
              <w:t>、</w:t>
            </w:r>
            <w:r>
              <w:rPr>
                <w:rFonts w:hint="eastAsia" w:ascii="仿宋_GB2312" w:hAnsi="仿宋_GB2312" w:eastAsia="仿宋_GB2312" w:cs="仿宋_GB2312"/>
                <w:i w:val="0"/>
                <w:caps w:val="0"/>
                <w:color w:val="000000"/>
                <w:spacing w:val="0"/>
                <w:kern w:val="0"/>
                <w:sz w:val="18"/>
                <w:szCs w:val="18"/>
                <w:shd w:val="clear" w:color="auto" w:fill="auto"/>
              </w:rPr>
              <w:t>随意取舍检测数据</w:t>
            </w:r>
            <w:r>
              <w:rPr>
                <w:rFonts w:hint="eastAsia" w:ascii="仿宋_GB2312" w:hAnsi="仿宋_GB2312" w:eastAsia="仿宋_GB2312" w:cs="仿宋_GB2312"/>
                <w:i w:val="0"/>
                <w:caps w:val="0"/>
                <w:color w:val="000000"/>
                <w:spacing w:val="0"/>
                <w:kern w:val="0"/>
                <w:sz w:val="18"/>
                <w:szCs w:val="18"/>
                <w:shd w:val="clear" w:color="auto" w:fill="auto"/>
                <w:lang w:eastAsia="zh-CN"/>
              </w:rPr>
              <w:t>；（四）</w:t>
            </w:r>
            <w:r>
              <w:rPr>
                <w:rFonts w:hint="eastAsia" w:ascii="仿宋_GB2312" w:hAnsi="仿宋_GB2312" w:eastAsia="仿宋_GB2312" w:cs="仿宋_GB2312"/>
                <w:bCs w:val="0"/>
                <w:color w:val="000000"/>
                <w:kern w:val="0"/>
                <w:sz w:val="18"/>
                <w:szCs w:val="18"/>
              </w:rPr>
              <w:t>弄虚作假、伪造数据</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询问核查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查阅委托单、原始记录、检测报告、检测报告、设备设施使用记录等相关材料，询问参与试验和报告签发等相关人员核查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restart"/>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w:t>
            </w:r>
          </w:p>
        </w:tc>
        <w:tc>
          <w:tcPr>
            <w:tcW w:w="1354" w:type="dxa"/>
            <w:vMerge w:val="restart"/>
            <w:noWrap w:val="0"/>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检测活动</w:t>
            </w: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《水利工程质量检测管理规定》第十五条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是否按照国家和行业标准进行检测；无国家和行业标准的，是否由检测单位提出方案，经委托方确认后实施</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查阅检测方案、检测报告、原始记录、设备设施使用记录等相关材料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1354" w:type="dxa"/>
            <w:vMerge w:val="continue"/>
            <w:noWrap w:val="0"/>
            <w:vAlign w:val="center"/>
          </w:tcPr>
          <w:p>
            <w:pPr>
              <w:widowControl/>
              <w:jc w:val="center"/>
              <w:rPr>
                <w:rFonts w:hint="eastAsia" w:ascii="仿宋_GB2312" w:hAnsi="仿宋_GB2312" w:eastAsia="仿宋_GB2312" w:cs="仿宋_GB2312"/>
                <w:color w:val="000000"/>
                <w:kern w:val="0"/>
                <w:sz w:val="18"/>
                <w:szCs w:val="18"/>
              </w:rPr>
            </w:pPr>
          </w:p>
        </w:tc>
        <w:tc>
          <w:tcPr>
            <w:tcW w:w="2631"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《水利工程质量检测管理规定》第十六条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质量检测试样的取样是否严格执行国家和行业标准；对不负责抽样（如样品是由客户提供）时，是否在出具的报告或证书中声明结果仅适用于客户提供的样品</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查阅检测方案、检测报告、原始记录等相关材料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713" w:type="dxa"/>
            <w:vMerge w:val="continue"/>
            <w:noWrap w:val="0"/>
            <w:vAlign w:val="center"/>
          </w:tcPr>
          <w:p>
            <w:pPr>
              <w:widowControl/>
              <w:jc w:val="center"/>
              <w:rPr>
                <w:rFonts w:ascii="仿宋_GB2312" w:hAnsi="仿宋_GB2312" w:eastAsia="仿宋_GB2312" w:cs="仿宋_GB2312"/>
                <w:color w:val="000000"/>
                <w:kern w:val="0"/>
                <w:sz w:val="18"/>
                <w:szCs w:val="18"/>
              </w:rPr>
            </w:pPr>
          </w:p>
        </w:tc>
        <w:tc>
          <w:tcPr>
            <w:tcW w:w="1354" w:type="dxa"/>
            <w:vMerge w:val="continue"/>
            <w:noWrap w:val="0"/>
            <w:vAlign w:val="center"/>
          </w:tcPr>
          <w:p>
            <w:pPr>
              <w:widowControl/>
              <w:jc w:val="center"/>
              <w:rPr>
                <w:rFonts w:hint="eastAsia" w:ascii="仿宋_GB2312" w:hAnsi="仿宋_GB2312" w:eastAsia="仿宋_GB2312" w:cs="仿宋_GB2312"/>
                <w:color w:val="000000"/>
                <w:kern w:val="0"/>
                <w:sz w:val="18"/>
                <w:szCs w:val="18"/>
              </w:rPr>
            </w:pPr>
          </w:p>
        </w:tc>
        <w:tc>
          <w:tcPr>
            <w:tcW w:w="2631" w:type="dxa"/>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《水利工程质量检测管理规定》第十八条、第二十七条</w:t>
            </w:r>
          </w:p>
        </w:tc>
        <w:tc>
          <w:tcPr>
            <w:tcW w:w="4989" w:type="dxa"/>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是否按规定上报发现的违法违规行为和检测不合格事项</w:t>
            </w:r>
          </w:p>
        </w:tc>
        <w:tc>
          <w:tcPr>
            <w:tcW w:w="1131" w:type="dxa"/>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现场检查、</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书面检查</w:t>
            </w:r>
          </w:p>
        </w:tc>
        <w:tc>
          <w:tcPr>
            <w:tcW w:w="3659" w:type="dxa"/>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查阅检测报告、检测结果不合格台账、上报记录等相关材料</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_GB2312" w:hAnsi="仿宋_GB2312" w:eastAsia="仿宋_GB2312" w:cs="仿宋_GB2312"/>
          <w:b w:val="0"/>
          <w:i w:val="0"/>
          <w:caps w:val="0"/>
          <w:color w:val="000000"/>
          <w:spacing w:val="0"/>
          <w:sz w:val="32"/>
          <w:szCs w:val="32"/>
          <w:u w:val="none"/>
          <w:shd w:val="clear" w:color="auto" w:fill="FFFFFF"/>
        </w:rPr>
      </w:pPr>
    </w:p>
    <w:p>
      <w:pPr>
        <w:sectPr>
          <w:pgSz w:w="16838" w:h="11906" w:orient="landscape"/>
          <w:pgMar w:top="1800" w:right="1440" w:bottom="1800" w:left="144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E38AB"/>
    <w:rsid w:val="189E3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440" w:lineRule="exact"/>
      <w:ind w:firstLine="48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2021-05-08T07:08:00Z</dcterms:created>
  <dc:creator>杨柳</dc:creator>
  <cp:lastModifiedBy>杨柳</cp:lastModifiedBy>
  <dcterms:modified xsi:type="dcterms:W3CDTF">2021-05-08T07:09:41Z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