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2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年度水利工程建设监理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和甲级质量检测单位</w:t>
      </w:r>
    </w:p>
    <w:p>
      <w:pPr>
        <w:pStyle w:val="2"/>
        <w:snapToGrid w:val="0"/>
        <w:spacing w:line="360" w:lineRule="auto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“双随机、一公开”抽查工作计划</w:t>
      </w:r>
    </w:p>
    <w:bookmarkEnd w:id="0"/>
    <w:p>
      <w:pPr>
        <w:pStyle w:val="2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年度水利工程建设监理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和甲级质量检测单位“双随机、一公开”抽查工作计划分两批进行，具体安排如下。</w:t>
      </w:r>
    </w:p>
    <w:p>
      <w:pPr>
        <w:pStyle w:val="2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一、5月，印发《水利部办公厅关于开展202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年度水利工程建设监理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和甲级质量检测单位“双随机、一公开”抽查工作的通知》，抽取检查对象。</w:t>
      </w:r>
    </w:p>
    <w:p>
      <w:pPr>
        <w:pStyle w:val="2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二、5月至6月，对第一批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家水利工程建设监理单位和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家甲级质量检测单</w:t>
      </w:r>
      <w:r>
        <w:rPr>
          <w:rFonts w:hint="eastAsia" w:ascii="仿宋_GB2312" w:hAnsi="仿宋_GB2312" w:eastAsia="仿宋_GB2312" w:cs="仿宋_GB2312"/>
          <w:sz w:val="32"/>
          <w:szCs w:val="32"/>
        </w:rPr>
        <w:t>位开展抽查工作。</w:t>
      </w:r>
    </w:p>
    <w:p>
      <w:pPr>
        <w:pStyle w:val="2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，在水利部门户网站和水利建设市场监管平台公开第一批抽查结果。</w:t>
      </w:r>
    </w:p>
    <w:p>
      <w:pPr>
        <w:pStyle w:val="2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四、7月至8月，对第二批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家水利工程建设监理单位和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家甲级质量检测单位开展抽查工作。</w:t>
      </w:r>
    </w:p>
    <w:p>
      <w:pPr>
        <w:pStyle w:val="2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，在水利部门户网站和水利建设市场监管平台公开第二批抽查结果。</w:t>
      </w:r>
    </w:p>
    <w:p>
      <w:pPr>
        <w:pStyle w:val="2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根据新冠肺炎疫情防控工作要求，抽查时间如有调整另行通知。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2E15"/>
    <w:rsid w:val="601F2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2021-05-08T07:07:00Z</dcterms:created>
  <dc:creator>杨柳</dc:creator>
  <cp:lastModifiedBy>杨柳</cp:lastModifiedBy>
  <dcterms:modified xsi:type="dcterms:W3CDTF">2021-05-08T07:08:14Z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