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00" w:lineRule="exact"/>
        <w:jc w:val="center"/>
        <w:outlineLvl w:val="0"/>
        <w:rPr>
          <w:rFonts w:ascii="黑体" w:hAnsi="黑体" w:eastAsia="黑体" w:cs="宋体"/>
          <w:color w:val="000000"/>
          <w:kern w:val="0"/>
          <w:sz w:val="24"/>
        </w:rPr>
      </w:pPr>
      <w:bookmarkStart w:id="0" w:name="_GoBack"/>
      <w:bookmarkEnd w:id="0"/>
      <w:r>
        <w:rPr>
          <w:rFonts w:hint="eastAsia" w:ascii="黑体" w:hAnsi="黑体" w:eastAsia="黑体" w:cs="宋体"/>
          <w:color w:val="000000"/>
          <w:kern w:val="0"/>
          <w:sz w:val="32"/>
          <w:szCs w:val="32"/>
        </w:rPr>
        <w:t>2017</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2018年度水利建设质量工作总体考核评分细则</w:t>
      </w:r>
    </w:p>
    <w:tbl>
      <w:tblPr>
        <w:tblStyle w:val="10"/>
        <w:tblW w:w="15238" w:type="dxa"/>
        <w:jc w:val="center"/>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87"/>
        <w:gridCol w:w="567"/>
        <w:gridCol w:w="1280"/>
        <w:gridCol w:w="6517"/>
        <w:gridCol w:w="567"/>
        <w:gridCol w:w="5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9" w:hRule="atLeast"/>
          <w:tblHeader/>
          <w:jc w:val="center"/>
        </w:trPr>
        <w:tc>
          <w:tcPr>
            <w:tcW w:w="987"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考核指标</w:t>
            </w:r>
          </w:p>
        </w:tc>
        <w:tc>
          <w:tcPr>
            <w:tcW w:w="567"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序号</w:t>
            </w:r>
          </w:p>
        </w:tc>
        <w:tc>
          <w:tcPr>
            <w:tcW w:w="1280"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考核要点</w:t>
            </w:r>
          </w:p>
        </w:tc>
        <w:tc>
          <w:tcPr>
            <w:tcW w:w="6517"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考核内容</w:t>
            </w:r>
          </w:p>
        </w:tc>
        <w:tc>
          <w:tcPr>
            <w:tcW w:w="567"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分值</w:t>
            </w:r>
          </w:p>
        </w:tc>
        <w:tc>
          <w:tcPr>
            <w:tcW w:w="5320" w:type="dxa"/>
            <w:tcBorders>
              <w:tl2br w:val="nil"/>
              <w:tr2bl w:val="nil"/>
            </w:tcBorders>
            <w:shd w:val="clear" w:color="auto" w:fill="FFFFFF"/>
            <w:vAlign w:val="center"/>
          </w:tcPr>
          <w:p>
            <w:pPr>
              <w:widowControl/>
              <w:jc w:val="center"/>
              <w:textAlignment w:val="center"/>
              <w:rPr>
                <w:rFonts w:ascii="黑体" w:hAnsi="宋体" w:eastAsia="黑体" w:cs="黑体"/>
                <w:b/>
                <w:bCs/>
                <w:kern w:val="0"/>
                <w:szCs w:val="21"/>
              </w:rPr>
            </w:pPr>
            <w:r>
              <w:rPr>
                <w:rFonts w:hint="eastAsia" w:ascii="黑体" w:hAnsi="宋体" w:eastAsia="黑体" w:cs="黑体"/>
                <w:b/>
                <w:bCs/>
                <w:kern w:val="0"/>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8" w:hRule="atLeast"/>
          <w:jc w:val="center"/>
        </w:trPr>
        <w:tc>
          <w:tcPr>
            <w:tcW w:w="987" w:type="dxa"/>
            <w:vMerge w:val="restart"/>
            <w:tcBorders>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质量目标（</w:t>
            </w:r>
            <w:r>
              <w:rPr>
                <w:rFonts w:hint="eastAsia" w:ascii="仿宋" w:hAnsi="仿宋" w:eastAsia="仿宋" w:cs="仿宋"/>
                <w:kern w:val="0"/>
                <w:szCs w:val="21"/>
                <w:lang w:val="en-US" w:eastAsia="zh-CN"/>
              </w:rPr>
              <w:t>9</w:t>
            </w:r>
            <w:r>
              <w:rPr>
                <w:rFonts w:hint="eastAsia" w:ascii="仿宋" w:hAnsi="仿宋" w:eastAsia="仿宋" w:cs="仿宋"/>
                <w:kern w:val="0"/>
                <w:szCs w:val="21"/>
              </w:rPr>
              <w:t>分）</w:t>
            </w:r>
          </w:p>
        </w:tc>
        <w:tc>
          <w:tcPr>
            <w:tcW w:w="567" w:type="dxa"/>
            <w:tcBorders>
              <w:bottom w:val="single" w:color="auto" w:sz="4" w:space="0"/>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1280" w:type="dxa"/>
            <w:tcBorders>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水利工程</w:t>
            </w:r>
          </w:p>
          <w:p>
            <w:pPr>
              <w:jc w:val="center"/>
              <w:rPr>
                <w:rFonts w:ascii="仿宋" w:hAnsi="仿宋" w:eastAsia="仿宋" w:cs="仿宋"/>
                <w:kern w:val="0"/>
                <w:szCs w:val="21"/>
              </w:rPr>
            </w:pPr>
            <w:r>
              <w:rPr>
                <w:rFonts w:hint="eastAsia" w:ascii="仿宋" w:hAnsi="仿宋" w:eastAsia="仿宋" w:cs="仿宋"/>
                <w:kern w:val="0"/>
                <w:szCs w:val="21"/>
              </w:rPr>
              <w:t>竣工验收</w:t>
            </w:r>
          </w:p>
        </w:tc>
        <w:tc>
          <w:tcPr>
            <w:tcW w:w="6517" w:type="dxa"/>
            <w:tcBorders>
              <w:tl2br w:val="nil"/>
              <w:tr2bl w:val="nil"/>
            </w:tcBorders>
            <w:vAlign w:val="center"/>
          </w:tcPr>
          <w:p>
            <w:pPr>
              <w:jc w:val="left"/>
              <w:rPr>
                <w:rFonts w:ascii="仿宋" w:hAnsi="仿宋" w:eastAsia="仿宋" w:cs="仿宋"/>
                <w:kern w:val="0"/>
                <w:szCs w:val="21"/>
              </w:rPr>
            </w:pPr>
            <w:r>
              <w:rPr>
                <w:rFonts w:hint="eastAsia" w:ascii="仿宋" w:hAnsi="仿宋" w:eastAsia="仿宋" w:cs="仿宋"/>
                <w:kern w:val="0"/>
                <w:szCs w:val="21"/>
              </w:rPr>
              <w:t>各地水利建设项目应按批复工期如期完工,并按照《水利工程建设项目竣工验收管理规定》及时组织竣工验收。建设周期长或者因故无法继续实施的项目，其已完成的工程可按单项工程或者分期进行竣工验收。</w:t>
            </w:r>
          </w:p>
        </w:tc>
        <w:tc>
          <w:tcPr>
            <w:tcW w:w="567" w:type="dxa"/>
            <w:tcBorders>
              <w:tl2br w:val="nil"/>
              <w:tr2bl w:val="nil"/>
            </w:tcBorders>
            <w:vAlign w:val="center"/>
          </w:tcPr>
          <w:p>
            <w:pPr>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3</w:t>
            </w:r>
          </w:p>
        </w:tc>
        <w:tc>
          <w:tcPr>
            <w:tcW w:w="5320" w:type="dxa"/>
            <w:tcBorders>
              <w:tl2br w:val="nil"/>
              <w:tr2bl w:val="nil"/>
            </w:tcBorders>
            <w:vAlign w:val="center"/>
          </w:tcPr>
          <w:p>
            <w:pPr>
              <w:jc w:val="left"/>
              <w:rPr>
                <w:rFonts w:ascii="仿宋" w:hAnsi="仿宋" w:eastAsia="仿宋" w:cs="仿宋"/>
                <w:kern w:val="0"/>
                <w:szCs w:val="21"/>
              </w:rPr>
            </w:pPr>
            <w:r>
              <w:rPr>
                <w:rFonts w:hint="eastAsia" w:ascii="仿宋" w:hAnsi="仿宋" w:eastAsia="仿宋" w:cs="仿宋"/>
                <w:kern w:val="0"/>
                <w:szCs w:val="21"/>
              </w:rPr>
              <w:t>按照批复工期、工程开工时间和合同约定完工时间，应在2015年底以前完工的水利建设项目竣工验收完成率：</w:t>
            </w:r>
          </w:p>
          <w:p>
            <w:pPr>
              <w:jc w:val="left"/>
              <w:rPr>
                <w:rFonts w:ascii="仿宋" w:hAnsi="仿宋" w:eastAsia="仿宋" w:cs="仿宋"/>
                <w:kern w:val="0"/>
                <w:szCs w:val="21"/>
              </w:rPr>
            </w:pPr>
            <w:r>
              <w:rPr>
                <w:rFonts w:hint="eastAsia" w:ascii="仿宋" w:hAnsi="仿宋" w:eastAsia="仿宋" w:cs="仿宋"/>
                <w:kern w:val="0"/>
                <w:szCs w:val="21"/>
              </w:rPr>
              <w:t>（1）竣工验收完成率未达到80%的，扣</w:t>
            </w:r>
            <w:r>
              <w:rPr>
                <w:rFonts w:hint="eastAsia" w:ascii="仿宋" w:hAnsi="仿宋" w:eastAsia="仿宋" w:cs="仿宋"/>
                <w:kern w:val="0"/>
                <w:szCs w:val="21"/>
                <w:lang w:val="en-US" w:eastAsia="zh-CN"/>
              </w:rPr>
              <w:t>1</w:t>
            </w:r>
            <w:r>
              <w:rPr>
                <w:rFonts w:hint="eastAsia" w:ascii="仿宋" w:hAnsi="仿宋" w:eastAsia="仿宋" w:cs="仿宋"/>
                <w:kern w:val="0"/>
                <w:szCs w:val="21"/>
              </w:rPr>
              <w:t>分。</w:t>
            </w:r>
          </w:p>
          <w:p>
            <w:pPr>
              <w:jc w:val="left"/>
              <w:rPr>
                <w:rFonts w:ascii="仿宋" w:hAnsi="仿宋" w:eastAsia="仿宋" w:cs="仿宋"/>
                <w:kern w:val="0"/>
                <w:szCs w:val="21"/>
              </w:rPr>
            </w:pPr>
            <w:r>
              <w:rPr>
                <w:rFonts w:hint="eastAsia" w:ascii="仿宋" w:hAnsi="仿宋" w:eastAsia="仿宋" w:cs="仿宋"/>
                <w:kern w:val="0"/>
                <w:szCs w:val="21"/>
              </w:rPr>
              <w:t>（3）竣工验收完成率未达到60%的，扣</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p>
            <w:pPr>
              <w:jc w:val="left"/>
              <w:rPr>
                <w:rFonts w:ascii="仿宋" w:hAnsi="仿宋" w:eastAsia="仿宋" w:cs="仿宋"/>
                <w:kern w:val="0"/>
                <w:szCs w:val="21"/>
              </w:rPr>
            </w:pPr>
            <w:r>
              <w:rPr>
                <w:rFonts w:hint="eastAsia" w:ascii="仿宋" w:hAnsi="仿宋" w:eastAsia="仿宋" w:cs="仿宋"/>
                <w:kern w:val="0"/>
                <w:szCs w:val="21"/>
              </w:rPr>
              <w:t>（4）竣工验收完成率未达到40%的，扣</w:t>
            </w:r>
            <w:r>
              <w:rPr>
                <w:rFonts w:hint="eastAsia" w:ascii="仿宋" w:hAnsi="仿宋" w:eastAsia="仿宋" w:cs="仿宋"/>
                <w:kern w:val="0"/>
                <w:szCs w:val="21"/>
                <w:lang w:val="en-US" w:eastAsia="zh-CN"/>
              </w:rPr>
              <w:t>3</w:t>
            </w:r>
            <w:r>
              <w:rPr>
                <w:rFonts w:hint="eastAsia" w:ascii="仿宋" w:hAnsi="仿宋" w:eastAsia="仿宋" w:cs="仿宋"/>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15" w:hRule="atLeast"/>
          <w:jc w:val="center"/>
        </w:trPr>
        <w:tc>
          <w:tcPr>
            <w:tcW w:w="987" w:type="dxa"/>
            <w:vMerge w:val="continue"/>
            <w:tcBorders>
              <w:tl2br w:val="nil"/>
              <w:tr2bl w:val="nil"/>
            </w:tcBorders>
            <w:vAlign w:val="center"/>
          </w:tcPr>
          <w:p>
            <w:pPr>
              <w:jc w:val="left"/>
              <w:rPr>
                <w:rFonts w:ascii="仿宋" w:hAnsi="仿宋" w:eastAsia="仿宋" w:cs="仿宋"/>
                <w:kern w:val="0"/>
                <w:szCs w:val="21"/>
              </w:rPr>
            </w:pPr>
          </w:p>
        </w:tc>
        <w:tc>
          <w:tcPr>
            <w:tcW w:w="567" w:type="dxa"/>
            <w:tcBorders>
              <w:top w:val="single" w:color="auto" w:sz="4" w:space="0"/>
              <w:bottom w:val="single" w:color="auto" w:sz="4" w:space="0"/>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2</w:t>
            </w:r>
          </w:p>
        </w:tc>
        <w:tc>
          <w:tcPr>
            <w:tcW w:w="1280" w:type="dxa"/>
            <w:tcBorders>
              <w:bottom w:val="single" w:color="auto" w:sz="4" w:space="0"/>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水利工程</w:t>
            </w:r>
          </w:p>
          <w:p>
            <w:pPr>
              <w:jc w:val="center"/>
              <w:rPr>
                <w:rFonts w:ascii="仿宋" w:hAnsi="仿宋" w:eastAsia="仿宋" w:cs="仿宋"/>
                <w:kern w:val="0"/>
                <w:szCs w:val="21"/>
              </w:rPr>
            </w:pPr>
            <w:r>
              <w:rPr>
                <w:rFonts w:hint="eastAsia" w:ascii="仿宋" w:hAnsi="仿宋" w:eastAsia="仿宋" w:cs="仿宋"/>
                <w:kern w:val="0"/>
                <w:szCs w:val="21"/>
              </w:rPr>
              <w:t>质量创优</w:t>
            </w:r>
          </w:p>
        </w:tc>
        <w:tc>
          <w:tcPr>
            <w:tcW w:w="6517" w:type="dxa"/>
            <w:tcBorders>
              <w:bottom w:val="single" w:color="auto" w:sz="4" w:space="0"/>
              <w:tl2br w:val="nil"/>
              <w:tr2bl w:val="nil"/>
            </w:tcBorders>
            <w:vAlign w:val="center"/>
          </w:tcPr>
          <w:p>
            <w:pPr>
              <w:jc w:val="left"/>
              <w:rPr>
                <w:rFonts w:ascii="仿宋" w:hAnsi="仿宋" w:eastAsia="仿宋" w:cs="仿宋"/>
                <w:kern w:val="0"/>
                <w:szCs w:val="21"/>
              </w:rPr>
            </w:pPr>
            <w:r>
              <w:rPr>
                <w:rFonts w:hint="eastAsia" w:ascii="仿宋" w:hAnsi="仿宋" w:eastAsia="仿宋" w:cs="仿宋"/>
                <w:kern w:val="0"/>
                <w:szCs w:val="21"/>
              </w:rPr>
              <w:t>省级水行政主管部门应完善质量激励政策，开展质量奖评选表彰，树立质量标杆，弘扬质量先进。</w:t>
            </w:r>
          </w:p>
        </w:tc>
        <w:tc>
          <w:tcPr>
            <w:tcW w:w="567" w:type="dxa"/>
            <w:tcBorders>
              <w:bottom w:val="single" w:color="auto" w:sz="4" w:space="0"/>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3</w:t>
            </w:r>
          </w:p>
        </w:tc>
        <w:tc>
          <w:tcPr>
            <w:tcW w:w="5320" w:type="dxa"/>
            <w:tcBorders>
              <w:bottom w:val="single" w:color="auto" w:sz="4" w:space="0"/>
              <w:tl2br w:val="nil"/>
              <w:tr2bl w:val="nil"/>
            </w:tcBorders>
            <w:vAlign w:val="center"/>
          </w:tcPr>
          <w:p>
            <w:pPr>
              <w:numPr>
                <w:ilvl w:val="0"/>
                <w:numId w:val="1"/>
              </w:numPr>
              <w:jc w:val="left"/>
              <w:rPr>
                <w:rFonts w:ascii="仿宋" w:hAnsi="仿宋" w:eastAsia="仿宋" w:cs="仿宋"/>
                <w:kern w:val="0"/>
                <w:szCs w:val="21"/>
              </w:rPr>
            </w:pPr>
            <w:r>
              <w:rPr>
                <w:rFonts w:hint="eastAsia" w:ascii="仿宋" w:hAnsi="仿宋" w:eastAsia="仿宋" w:cs="仿宋"/>
                <w:kern w:val="0"/>
                <w:szCs w:val="21"/>
              </w:rPr>
              <w:t>未开展省级水利优质工程评选工作，或未开展激励表彰工作的，扣2分。</w:t>
            </w:r>
          </w:p>
          <w:p>
            <w:pPr>
              <w:numPr>
                <w:ilvl w:val="0"/>
                <w:numId w:val="1"/>
              </w:numPr>
              <w:jc w:val="left"/>
              <w:rPr>
                <w:rFonts w:ascii="仿宋" w:hAnsi="仿宋" w:eastAsia="仿宋" w:cs="仿宋"/>
                <w:kern w:val="0"/>
                <w:szCs w:val="21"/>
              </w:rPr>
            </w:pPr>
            <w:r>
              <w:rPr>
                <w:rFonts w:hint="eastAsia" w:ascii="仿宋" w:hAnsi="仿宋" w:eastAsia="仿宋" w:cs="仿宋"/>
                <w:kern w:val="0"/>
                <w:szCs w:val="21"/>
              </w:rPr>
              <w:t>未对从业人员及管理单位进行表扬的，扣</w:t>
            </w:r>
            <w:r>
              <w:rPr>
                <w:rFonts w:ascii="仿宋" w:hAnsi="仿宋" w:eastAsia="仿宋" w:cs="仿宋"/>
                <w:kern w:val="0"/>
                <w:szCs w:val="21"/>
              </w:rPr>
              <w:t>1分。</w:t>
            </w:r>
          </w:p>
          <w:p>
            <w:pPr>
              <w:numPr>
                <w:ilvl w:val="0"/>
                <w:numId w:val="1"/>
              </w:numPr>
              <w:jc w:val="left"/>
              <w:rPr>
                <w:rFonts w:ascii="仿宋" w:hAnsi="仿宋" w:eastAsia="仿宋" w:cs="仿宋"/>
                <w:kern w:val="0"/>
                <w:szCs w:val="21"/>
              </w:rPr>
            </w:pPr>
            <w:r>
              <w:rPr>
                <w:rFonts w:hint="eastAsia" w:ascii="仿宋" w:hAnsi="仿宋" w:eastAsia="仿宋" w:cs="仿宋"/>
                <w:kern w:val="0"/>
                <w:szCs w:val="21"/>
              </w:rPr>
              <w:t>2016-2018年之间，行政区域内的水利工程未获得省部级及以上质量奖项的，扣</w:t>
            </w:r>
            <w:r>
              <w:rPr>
                <w:rFonts w:ascii="仿宋" w:hAnsi="仿宋" w:eastAsia="仿宋" w:cs="仿宋"/>
                <w:kern w:val="0"/>
                <w:szCs w:val="21"/>
              </w:rPr>
              <w:t>1</w:t>
            </w:r>
            <w:r>
              <w:rPr>
                <w:rFonts w:hint="eastAsia" w:ascii="仿宋" w:hAnsi="仿宋" w:eastAsia="仿宋" w:cs="仿宋"/>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4" w:hRule="atLeast"/>
          <w:jc w:val="center"/>
        </w:trPr>
        <w:tc>
          <w:tcPr>
            <w:tcW w:w="987" w:type="dxa"/>
            <w:vMerge w:val="continue"/>
            <w:tcBorders>
              <w:tl2br w:val="nil"/>
              <w:tr2bl w:val="nil"/>
            </w:tcBorders>
            <w:vAlign w:val="center"/>
          </w:tcPr>
          <w:p>
            <w:pPr>
              <w:jc w:val="center"/>
              <w:rPr>
                <w:rFonts w:ascii="仿宋" w:hAnsi="仿宋" w:eastAsia="仿宋" w:cs="仿宋"/>
                <w:kern w:val="0"/>
                <w:szCs w:val="21"/>
              </w:rPr>
            </w:pPr>
          </w:p>
        </w:tc>
        <w:tc>
          <w:tcPr>
            <w:tcW w:w="567" w:type="dxa"/>
            <w:tcBorders>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3</w:t>
            </w:r>
          </w:p>
        </w:tc>
        <w:tc>
          <w:tcPr>
            <w:tcW w:w="1280" w:type="dxa"/>
            <w:tcBorders>
              <w:tl2br w:val="nil"/>
              <w:tr2bl w:val="nil"/>
            </w:tcBorders>
            <w:vAlign w:val="center"/>
          </w:tcPr>
          <w:p>
            <w:pPr>
              <w:jc w:val="center"/>
              <w:rPr>
                <w:rFonts w:ascii="仿宋" w:hAnsi="仿宋" w:eastAsia="仿宋" w:cs="仿宋"/>
                <w:kern w:val="0"/>
                <w:szCs w:val="21"/>
              </w:rPr>
            </w:pPr>
            <w:r>
              <w:rPr>
                <w:rFonts w:hint="eastAsia" w:ascii="仿宋" w:hAnsi="仿宋" w:eastAsia="仿宋" w:cs="仿宋"/>
                <w:kern w:val="0"/>
                <w:szCs w:val="21"/>
              </w:rPr>
              <w:t>水利工程</w:t>
            </w:r>
          </w:p>
          <w:p>
            <w:pPr>
              <w:jc w:val="center"/>
              <w:rPr>
                <w:rFonts w:ascii="仿宋" w:hAnsi="仿宋" w:eastAsia="仿宋" w:cs="仿宋"/>
                <w:kern w:val="0"/>
                <w:szCs w:val="21"/>
              </w:rPr>
            </w:pPr>
            <w:r>
              <w:rPr>
                <w:rFonts w:hint="eastAsia" w:ascii="仿宋" w:hAnsi="仿宋" w:eastAsia="仿宋" w:cs="仿宋"/>
                <w:kern w:val="0"/>
                <w:szCs w:val="21"/>
              </w:rPr>
              <w:t>质量发展</w:t>
            </w:r>
          </w:p>
        </w:tc>
        <w:tc>
          <w:tcPr>
            <w:tcW w:w="6517" w:type="dxa"/>
            <w:tcBorders>
              <w:tl2br w:val="nil"/>
              <w:tr2bl w:val="nil"/>
            </w:tcBorders>
            <w:vAlign w:val="center"/>
          </w:tcPr>
          <w:p>
            <w:pPr>
              <w:jc w:val="left"/>
              <w:rPr>
                <w:rFonts w:ascii="仿宋" w:hAnsi="仿宋" w:eastAsia="仿宋" w:cs="仿宋"/>
                <w:kern w:val="0"/>
                <w:szCs w:val="21"/>
              </w:rPr>
            </w:pPr>
            <w:r>
              <w:rPr>
                <w:rFonts w:hint="eastAsia" w:ascii="仿宋" w:hAnsi="仿宋" w:eastAsia="仿宋" w:cs="仿宋"/>
                <w:kern w:val="0"/>
                <w:szCs w:val="21"/>
              </w:rPr>
              <w:t>省级水行政主管部门应积极开展水利工程质量提升等相关活动；</w:t>
            </w:r>
            <w:r>
              <w:rPr>
                <w:rFonts w:ascii="仿宋" w:hAnsi="仿宋" w:eastAsia="仿宋" w:cs="仿宋"/>
                <w:kern w:val="0"/>
                <w:szCs w:val="21"/>
              </w:rPr>
              <w:t>限制和淘汰落后、危险工艺工法，保障施工安全</w:t>
            </w:r>
            <w:r>
              <w:rPr>
                <w:rFonts w:hint="eastAsia" w:ascii="仿宋" w:hAnsi="仿宋" w:eastAsia="仿宋" w:cs="仿宋"/>
                <w:kern w:val="0"/>
                <w:szCs w:val="21"/>
              </w:rPr>
              <w:t>；组织质量提升关键技术攻关，推动企业积极应用新技术、新工艺、新材料。</w:t>
            </w:r>
          </w:p>
        </w:tc>
        <w:tc>
          <w:tcPr>
            <w:tcW w:w="567" w:type="dxa"/>
            <w:tcBorders>
              <w:tl2br w:val="nil"/>
              <w:tr2bl w:val="nil"/>
            </w:tcBorders>
            <w:vAlign w:val="center"/>
          </w:tcPr>
          <w:p>
            <w:pPr>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3</w:t>
            </w:r>
          </w:p>
        </w:tc>
        <w:tc>
          <w:tcPr>
            <w:tcW w:w="5320" w:type="dxa"/>
            <w:tcBorders>
              <w:tl2br w:val="nil"/>
              <w:tr2bl w:val="nil"/>
            </w:tcBorders>
            <w:vAlign w:val="center"/>
          </w:tcPr>
          <w:p>
            <w:pPr>
              <w:numPr>
                <w:ilvl w:val="0"/>
                <w:numId w:val="2"/>
              </w:numPr>
              <w:jc w:val="left"/>
              <w:rPr>
                <w:rFonts w:ascii="仿宋" w:hAnsi="仿宋" w:eastAsia="仿宋" w:cs="仿宋"/>
                <w:kern w:val="0"/>
                <w:szCs w:val="21"/>
              </w:rPr>
            </w:pPr>
            <w:r>
              <w:rPr>
                <w:rFonts w:hint="eastAsia" w:ascii="仿宋" w:hAnsi="仿宋" w:eastAsia="仿宋" w:cs="仿宋"/>
                <w:kern w:val="0"/>
                <w:szCs w:val="21"/>
              </w:rPr>
              <w:t>未开展质量提升等相关活动的，扣1</w:t>
            </w:r>
            <w:r>
              <w:rPr>
                <w:rFonts w:hint="eastAsia" w:ascii="仿宋" w:hAnsi="仿宋" w:eastAsia="仿宋" w:cs="仿宋"/>
                <w:kern w:val="0"/>
                <w:szCs w:val="21"/>
                <w:lang w:val="en-US" w:eastAsia="zh-CN"/>
              </w:rPr>
              <w:t>.5</w:t>
            </w:r>
            <w:r>
              <w:rPr>
                <w:rFonts w:hint="eastAsia" w:ascii="仿宋" w:hAnsi="仿宋" w:eastAsia="仿宋" w:cs="仿宋"/>
                <w:kern w:val="0"/>
                <w:szCs w:val="21"/>
              </w:rPr>
              <w:t>分。</w:t>
            </w:r>
          </w:p>
          <w:p>
            <w:pPr>
              <w:jc w:val="left"/>
              <w:rPr>
                <w:rFonts w:ascii="仿宋" w:hAnsi="仿宋" w:eastAsia="仿宋" w:cs="仿宋"/>
                <w:kern w:val="0"/>
                <w:szCs w:val="21"/>
              </w:rPr>
            </w:pPr>
            <w:r>
              <w:rPr>
                <w:rFonts w:hint="eastAsia" w:ascii="仿宋" w:hAnsi="仿宋" w:eastAsia="仿宋" w:cs="仿宋"/>
                <w:kern w:val="0"/>
                <w:szCs w:val="21"/>
              </w:rPr>
              <w:t>（2）2016-2018年度内未出台</w:t>
            </w:r>
            <w:r>
              <w:rPr>
                <w:rFonts w:ascii="仿宋" w:hAnsi="仿宋" w:eastAsia="仿宋" w:cs="仿宋"/>
                <w:kern w:val="0"/>
                <w:szCs w:val="21"/>
              </w:rPr>
              <w:t>支持技术创新</w:t>
            </w:r>
            <w:r>
              <w:rPr>
                <w:rFonts w:hint="eastAsia" w:ascii="仿宋" w:hAnsi="仿宋" w:eastAsia="仿宋" w:cs="仿宋"/>
                <w:kern w:val="0"/>
                <w:szCs w:val="21"/>
              </w:rPr>
              <w:t>以及积极应用新技术、新工艺、新材料相关政策制度的，扣1</w:t>
            </w:r>
            <w:r>
              <w:rPr>
                <w:rFonts w:hint="eastAsia" w:ascii="仿宋" w:hAnsi="仿宋" w:eastAsia="仿宋" w:cs="仿宋"/>
                <w:kern w:val="0"/>
                <w:szCs w:val="21"/>
                <w:lang w:val="en-US" w:eastAsia="zh-CN"/>
              </w:rPr>
              <w:t>.5</w:t>
            </w:r>
            <w:r>
              <w:rPr>
                <w:rFonts w:hint="eastAsia" w:ascii="仿宋" w:hAnsi="仿宋" w:eastAsia="仿宋" w:cs="仿宋"/>
                <w:kern w:val="0"/>
                <w:szCs w:val="21"/>
              </w:rPr>
              <w:t>分。</w:t>
            </w:r>
          </w:p>
          <w:p>
            <w:pPr>
              <w:jc w:val="left"/>
              <w:rPr>
                <w:rFonts w:ascii="仿宋" w:hAnsi="仿宋" w:eastAsia="仿宋" w:cs="仿宋"/>
                <w:kern w:val="0"/>
                <w:szCs w:val="21"/>
              </w:rPr>
            </w:pPr>
            <w:r>
              <w:rPr>
                <w:rFonts w:hint="eastAsia" w:ascii="仿宋" w:hAnsi="仿宋" w:eastAsia="仿宋" w:cs="仿宋"/>
                <w:kern w:val="0"/>
                <w:szCs w:val="21"/>
              </w:rPr>
              <w:t>（3）2016-2018年度内无</w:t>
            </w:r>
            <w:r>
              <w:rPr>
                <w:rFonts w:ascii="仿宋" w:hAnsi="仿宋" w:eastAsia="仿宋" w:cs="仿宋"/>
                <w:kern w:val="0"/>
                <w:szCs w:val="21"/>
              </w:rPr>
              <w:t>技术创新</w:t>
            </w:r>
            <w:r>
              <w:rPr>
                <w:rFonts w:hint="eastAsia" w:ascii="仿宋" w:hAnsi="仿宋" w:eastAsia="仿宋" w:cs="仿宋"/>
                <w:kern w:val="0"/>
                <w:szCs w:val="21"/>
              </w:rPr>
              <w:t>相关成果以及新技术、新工艺、新材料相关应用实例的，扣1分。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45" w:hRule="atLeast"/>
          <w:jc w:val="center"/>
        </w:trPr>
        <w:tc>
          <w:tcPr>
            <w:tcW w:w="98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质量规章制度</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(12分)</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4</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地方规章</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制度和技术标准</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省级水行政主管部门应结合地方实际，建立健全地方水利建设质量规章制度和技术标准体系。</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2</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（1）2016-2018年之间，未出台省级水利建设质量管理规章制度的，扣1</w:t>
            </w:r>
            <w:r>
              <w:rPr>
                <w:rFonts w:hint="eastAsia" w:ascii="仿宋" w:hAnsi="仿宋" w:eastAsia="仿宋" w:cs="仿宋"/>
                <w:kern w:val="0"/>
                <w:szCs w:val="21"/>
                <w:lang w:val="en-US" w:eastAsia="zh-CN"/>
              </w:rPr>
              <w:t>.5</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（2）2016-2018年之间，未出台地方水利建设质量技术标准的，扣1</w:t>
            </w:r>
            <w:r>
              <w:rPr>
                <w:rFonts w:hint="eastAsia" w:ascii="仿宋" w:hAnsi="仿宋" w:eastAsia="仿宋" w:cs="仿宋"/>
                <w:kern w:val="0"/>
                <w:szCs w:val="21"/>
                <w:lang w:val="en-US" w:eastAsia="zh-CN"/>
              </w:rPr>
              <w:t>.5</w:t>
            </w:r>
            <w:r>
              <w:rPr>
                <w:rFonts w:hint="eastAsia" w:ascii="仿宋" w:hAnsi="仿宋" w:eastAsia="仿宋" w:cs="仿宋"/>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95"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5</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促进市场公平竞争</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维护市场</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正常秩序</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结合当地实际，贯彻落实《水利部关于促进市场公平竞争维护水利建设市场正常秩序的实施意见》，按照分级管理的原则合理划分和落实本地区水利建设市场的监管责任。不得设置法律法规之外的市场准入门槛,不得抬高或降低招标工程对应的资质资格等级，不得自行设置或变相设置从业人员资格。不得以备案、登记、注册等形式排斥、限制外地注册企业进入本地区承揽水利建设业务，不得将在本地区注册设立独立子公司或分公司、参加本地区培训等作为外地注册企业进入本地区水利建设市场的准入条件。不得以市场准入违法违规设定收费项目或变相实施收费、有偿服务。</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6</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（1）2017年以来未出台贯彻落实制度办法，未见相关制度、文件修订及清理材料，也未采取加强水利建设市场监督管理相关措施的，扣6分。</w:t>
            </w:r>
          </w:p>
          <w:p>
            <w:pPr>
              <w:widowControl/>
              <w:textAlignment w:val="center"/>
              <w:rPr>
                <w:rFonts w:ascii="仿宋" w:hAnsi="仿宋" w:eastAsia="仿宋" w:cs="仿宋"/>
                <w:kern w:val="0"/>
                <w:szCs w:val="21"/>
              </w:rPr>
            </w:pPr>
            <w:r>
              <w:rPr>
                <w:rFonts w:hint="eastAsia" w:ascii="仿宋" w:hAnsi="仿宋" w:eastAsia="仿宋" w:cs="仿宋"/>
                <w:kern w:val="0"/>
                <w:szCs w:val="21"/>
              </w:rPr>
              <w:t>（2）制度办法中未明确划分或落实本地区水利建设市场监管责任的，扣2分。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（3）设置法律法规之外的水利建设市场准入门槛的，扣2分。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（4）设置水利建设市场准入地方保护壁垒的，扣2分。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（5）设置增加水利建设市场主体负担条件的，扣2分。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36"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6</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地方水利</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建设质量</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工作考核</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省级水行政主管部门应结合当地实际，建立地方水利建设质量工作考核制度，对本行政区域内水利建设质量工作进行考核。</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4</w:t>
            </w:r>
          </w:p>
        </w:tc>
        <w:tc>
          <w:tcPr>
            <w:tcW w:w="5320" w:type="dxa"/>
            <w:tcBorders>
              <w:tl2br w:val="nil"/>
              <w:tr2bl w:val="nil"/>
            </w:tcBorders>
            <w:vAlign w:val="center"/>
          </w:tcPr>
          <w:p>
            <w:pPr>
              <w:widowControl/>
              <w:numPr>
                <w:ilvl w:val="0"/>
                <w:numId w:val="3"/>
              </w:numPr>
              <w:textAlignment w:val="center"/>
              <w:rPr>
                <w:rFonts w:ascii="仿宋" w:hAnsi="仿宋" w:eastAsia="仿宋" w:cs="仿宋"/>
                <w:kern w:val="0"/>
                <w:szCs w:val="21"/>
              </w:rPr>
            </w:pPr>
            <w:r>
              <w:rPr>
                <w:rFonts w:hint="eastAsia" w:ascii="仿宋" w:hAnsi="仿宋" w:eastAsia="仿宋" w:cs="仿宋"/>
                <w:kern w:val="0"/>
                <w:szCs w:val="21"/>
              </w:rPr>
              <w:t>未根据地方实际制定省级质量工作考核制度的，扣4分。</w:t>
            </w:r>
          </w:p>
          <w:p>
            <w:pPr>
              <w:widowControl/>
              <w:numPr>
                <w:ilvl w:val="0"/>
                <w:numId w:val="3"/>
              </w:numPr>
              <w:textAlignment w:val="center"/>
              <w:rPr>
                <w:rFonts w:ascii="仿宋" w:hAnsi="仿宋" w:eastAsia="仿宋" w:cs="仿宋"/>
                <w:kern w:val="0"/>
                <w:szCs w:val="21"/>
              </w:rPr>
            </w:pPr>
            <w:r>
              <w:rPr>
                <w:rFonts w:hint="eastAsia" w:ascii="仿宋" w:hAnsi="仿宋" w:eastAsia="仿宋" w:cs="仿宋"/>
                <w:kern w:val="0"/>
                <w:szCs w:val="21"/>
              </w:rPr>
              <w:t>未对本行政区域内水利建设开展年度质量工作考核的，扣2分。</w:t>
            </w:r>
          </w:p>
          <w:p>
            <w:pPr>
              <w:widowControl/>
              <w:numPr>
                <w:ilvl w:val="0"/>
                <w:numId w:val="3"/>
              </w:numPr>
              <w:textAlignment w:val="center"/>
              <w:rPr>
                <w:rFonts w:ascii="仿宋" w:hAnsi="仿宋" w:eastAsia="仿宋" w:cs="仿宋"/>
                <w:kern w:val="0"/>
                <w:szCs w:val="21"/>
              </w:rPr>
            </w:pPr>
            <w:r>
              <w:rPr>
                <w:rFonts w:hint="eastAsia" w:ascii="仿宋" w:hAnsi="仿宋" w:eastAsia="仿宋" w:cs="仿宋"/>
                <w:kern w:val="0"/>
                <w:szCs w:val="21"/>
              </w:rPr>
              <w:t>开展了质量工作考核但未通报考核结果的,扣1分。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86" w:hRule="atLeast"/>
          <w:jc w:val="center"/>
        </w:trPr>
        <w:tc>
          <w:tcPr>
            <w:tcW w:w="98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质量监督管理</w:t>
            </w:r>
            <w:r>
              <w:rPr>
                <w:rFonts w:hint="eastAsia" w:ascii="仿宋" w:hAnsi="仿宋" w:eastAsia="仿宋" w:cs="仿宋"/>
                <w:kern w:val="0"/>
                <w:szCs w:val="21"/>
              </w:rPr>
              <w:br w:type="textWrapping"/>
            </w:r>
            <w:r>
              <w:rPr>
                <w:rFonts w:hint="eastAsia" w:ascii="仿宋" w:hAnsi="仿宋" w:eastAsia="仿宋" w:cs="仿宋"/>
                <w:kern w:val="0"/>
                <w:szCs w:val="21"/>
              </w:rPr>
              <w:t>（20分）</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7</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省级质量</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监督能力</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建设</w:t>
            </w:r>
          </w:p>
        </w:tc>
        <w:tc>
          <w:tcPr>
            <w:tcW w:w="6517" w:type="dxa"/>
            <w:vMerge w:val="restart"/>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各级水行政主管部门应</w:t>
            </w:r>
            <w:r>
              <w:rPr>
                <w:rFonts w:ascii="仿宋" w:hAnsi="仿宋" w:eastAsia="仿宋" w:cs="仿宋"/>
                <w:kern w:val="0"/>
                <w:szCs w:val="21"/>
              </w:rPr>
              <w:t>加强工程质量监督队伍建设，监督机构履行职能所需经费由同级财政预算全额保障</w:t>
            </w:r>
            <w:r>
              <w:rPr>
                <w:rFonts w:hint="eastAsia" w:ascii="仿宋" w:hAnsi="仿宋" w:eastAsia="仿宋" w:cs="仿宋"/>
                <w:kern w:val="0"/>
                <w:szCs w:val="21"/>
              </w:rPr>
              <w:t>，监督机构能力应与大规模水利建设相适应；</w:t>
            </w:r>
            <w:r>
              <w:rPr>
                <w:rFonts w:ascii="仿宋" w:hAnsi="仿宋" w:eastAsia="仿宋" w:cs="仿宋"/>
                <w:kern w:val="0"/>
                <w:szCs w:val="21"/>
              </w:rPr>
              <w:t>可采取购买服务的方式，委托具备条件的社会力量进行工程质量监督检查</w:t>
            </w:r>
            <w:r>
              <w:rPr>
                <w:rFonts w:hint="eastAsia" w:ascii="仿宋" w:hAnsi="仿宋" w:eastAsia="仿宋" w:cs="仿宋"/>
                <w:kern w:val="0"/>
                <w:szCs w:val="21"/>
              </w:rPr>
              <w:t>。</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12</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（1）无水利工程质量监督机构的，扣5分。</w:t>
            </w:r>
          </w:p>
          <w:p>
            <w:pPr>
              <w:widowControl/>
              <w:textAlignment w:val="center"/>
              <w:rPr>
                <w:rFonts w:ascii="仿宋" w:hAnsi="仿宋" w:eastAsia="仿宋" w:cs="仿宋"/>
                <w:kern w:val="0"/>
                <w:szCs w:val="21"/>
              </w:rPr>
            </w:pPr>
            <w:r>
              <w:rPr>
                <w:rFonts w:hint="eastAsia" w:ascii="仿宋" w:hAnsi="仿宋" w:eastAsia="仿宋" w:cs="仿宋"/>
                <w:kern w:val="0"/>
                <w:szCs w:val="21"/>
              </w:rPr>
              <w:t>（2）无专职质量监督工作人员的，扣3分。</w:t>
            </w:r>
          </w:p>
          <w:p>
            <w:pPr>
              <w:widowControl/>
              <w:textAlignment w:val="center"/>
              <w:rPr>
                <w:rFonts w:ascii="仿宋" w:hAnsi="仿宋" w:eastAsia="仿宋" w:cs="仿宋"/>
                <w:kern w:val="0"/>
                <w:szCs w:val="21"/>
              </w:rPr>
            </w:pPr>
            <w:r>
              <w:rPr>
                <w:rFonts w:hint="eastAsia" w:ascii="仿宋" w:hAnsi="仿宋" w:eastAsia="仿宋" w:cs="仿宋"/>
                <w:kern w:val="0"/>
                <w:szCs w:val="21"/>
              </w:rPr>
              <w:t>（3）专职质量监督工作人员数量、专业不满足监督工作需要的，扣</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（4）未明确质量监督工作机构负责人的，扣2分。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（5）质量监督工作经费未纳入同级财政预算的，扣2分。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（6）质量监督工作经费纳入预算但不满足工作需要的，扣1分。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60"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8</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市、县级</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质量监督</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能力建设</w:t>
            </w:r>
          </w:p>
        </w:tc>
        <w:tc>
          <w:tcPr>
            <w:tcW w:w="651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5</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（1）承担水利建设任务的市、县，其水行政主管部门无履行质量监督职能机构的，每个市（县）扣1分。</w:t>
            </w:r>
          </w:p>
          <w:p>
            <w:pPr>
              <w:widowControl/>
              <w:textAlignment w:val="center"/>
              <w:rPr>
                <w:rFonts w:ascii="仿宋" w:hAnsi="仿宋" w:eastAsia="仿宋" w:cs="仿宋"/>
                <w:kern w:val="0"/>
                <w:szCs w:val="21"/>
              </w:rPr>
            </w:pPr>
            <w:r>
              <w:rPr>
                <w:rFonts w:hint="eastAsia" w:ascii="仿宋" w:hAnsi="仿宋" w:eastAsia="仿宋" w:cs="仿宋"/>
                <w:kern w:val="0"/>
                <w:szCs w:val="21"/>
              </w:rPr>
              <w:t>（2）无水利工程专职质量监督工作人员的，每个市（县）扣0.5分。</w:t>
            </w:r>
          </w:p>
          <w:p>
            <w:pPr>
              <w:widowControl/>
              <w:textAlignment w:val="center"/>
              <w:rPr>
                <w:rFonts w:ascii="仿宋" w:hAnsi="仿宋" w:eastAsia="仿宋" w:cs="仿宋"/>
                <w:kern w:val="0"/>
                <w:szCs w:val="21"/>
              </w:rPr>
            </w:pPr>
            <w:r>
              <w:rPr>
                <w:rFonts w:hint="eastAsia" w:ascii="仿宋" w:hAnsi="仿宋" w:eastAsia="仿宋" w:cs="仿宋"/>
                <w:kern w:val="0"/>
                <w:szCs w:val="21"/>
              </w:rPr>
              <w:t>（3）质量监督工作经费未纳入同级财政预算的，每个市（县）扣0.5分。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8"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9</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新开工项目</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质量监督率</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水利建设工程开工前应按规定办理工程质量监督手续。</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3</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（1）应由省级质量监督机构监督的在建项目质量监督率未达到100%的，扣3分。</w:t>
            </w:r>
          </w:p>
          <w:p>
            <w:pPr>
              <w:widowControl/>
              <w:textAlignment w:val="center"/>
              <w:rPr>
                <w:rFonts w:ascii="仿宋" w:hAnsi="仿宋" w:eastAsia="仿宋" w:cs="仿宋"/>
                <w:kern w:val="0"/>
                <w:szCs w:val="21"/>
              </w:rPr>
            </w:pPr>
            <w:r>
              <w:rPr>
                <w:rFonts w:hint="eastAsia" w:ascii="仿宋" w:hAnsi="仿宋" w:eastAsia="仿宋" w:cs="仿宋"/>
                <w:kern w:val="0"/>
                <w:szCs w:val="21"/>
              </w:rPr>
              <w:t>（2）未制定质量监督机构分级监督文件的或制定了但未执行的，扣1分。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37" w:hRule="atLeast"/>
          <w:jc w:val="center"/>
        </w:trPr>
        <w:tc>
          <w:tcPr>
            <w:tcW w:w="98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质量检测管理</w:t>
            </w:r>
            <w:r>
              <w:rPr>
                <w:rFonts w:hint="eastAsia" w:ascii="仿宋" w:hAnsi="仿宋" w:eastAsia="仿宋" w:cs="仿宋"/>
                <w:kern w:val="0"/>
                <w:szCs w:val="21"/>
              </w:rPr>
              <w:br w:type="textWrapping"/>
            </w:r>
            <w:r>
              <w:rPr>
                <w:rFonts w:hint="eastAsia" w:ascii="仿宋" w:hAnsi="仿宋" w:eastAsia="仿宋" w:cs="仿宋"/>
                <w:kern w:val="0"/>
                <w:szCs w:val="21"/>
              </w:rPr>
              <w:t>（9分）</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10</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质量检测</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管理</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省级水行政主管部门应及时审批检测单位乙级资质，受理时间由审批机关提前三个月向社会公告。</w:t>
            </w:r>
          </w:p>
          <w:p>
            <w:pPr>
              <w:widowControl/>
              <w:textAlignment w:val="center"/>
              <w:rPr>
                <w:rFonts w:ascii="仿宋" w:hAnsi="仿宋" w:eastAsia="仿宋" w:cs="仿宋"/>
                <w:kern w:val="0"/>
                <w:szCs w:val="21"/>
              </w:rPr>
            </w:pPr>
            <w:r>
              <w:rPr>
                <w:rFonts w:ascii="仿宋" w:hAnsi="仿宋" w:eastAsia="仿宋" w:cs="仿宋"/>
                <w:kern w:val="0"/>
                <w:szCs w:val="21"/>
              </w:rPr>
              <w:t>改进市场监管手段</w:t>
            </w:r>
            <w:r>
              <w:rPr>
                <w:rFonts w:hint="eastAsia" w:ascii="仿宋" w:hAnsi="仿宋" w:eastAsia="仿宋" w:cs="仿宋"/>
                <w:kern w:val="0"/>
                <w:szCs w:val="21"/>
              </w:rPr>
              <w:t>，</w:t>
            </w:r>
            <w:r>
              <w:rPr>
                <w:rFonts w:ascii="仿宋" w:hAnsi="仿宋" w:eastAsia="仿宋" w:cs="仿宋"/>
                <w:kern w:val="0"/>
                <w:szCs w:val="21"/>
              </w:rPr>
              <w:t>创新监管方式，制定监管规则</w:t>
            </w:r>
            <w:r>
              <w:rPr>
                <w:rFonts w:hint="eastAsia" w:ascii="仿宋" w:hAnsi="仿宋" w:eastAsia="仿宋" w:cs="仿宋"/>
                <w:kern w:val="0"/>
                <w:szCs w:val="21"/>
              </w:rPr>
              <w:t>。积极推行“双随机、一公开”监管。大力推进工程建设项目法人抽检。</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9</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（1）未开展质量检测乙级资质审批工作的，扣3分。</w:t>
            </w:r>
          </w:p>
          <w:p>
            <w:pPr>
              <w:widowControl/>
              <w:textAlignment w:val="center"/>
              <w:rPr>
                <w:rFonts w:ascii="仿宋" w:hAnsi="仿宋" w:eastAsia="仿宋" w:cs="仿宋"/>
                <w:kern w:val="0"/>
                <w:szCs w:val="21"/>
              </w:rPr>
            </w:pPr>
            <w:r>
              <w:rPr>
                <w:rFonts w:hint="eastAsia" w:ascii="仿宋" w:hAnsi="仿宋" w:eastAsia="仿宋" w:cs="仿宋"/>
                <w:kern w:val="0"/>
                <w:szCs w:val="21"/>
              </w:rPr>
              <w:t>（2）资质审批工作不规范的，扣1分。</w:t>
            </w:r>
          </w:p>
          <w:p>
            <w:pPr>
              <w:widowControl/>
              <w:textAlignment w:val="center"/>
              <w:rPr>
                <w:rFonts w:ascii="仿宋" w:hAnsi="仿宋" w:eastAsia="仿宋" w:cs="仿宋"/>
                <w:kern w:val="0"/>
                <w:szCs w:val="21"/>
              </w:rPr>
            </w:pPr>
            <w:r>
              <w:rPr>
                <w:rFonts w:hint="eastAsia" w:ascii="仿宋" w:hAnsi="仿宋" w:eastAsia="仿宋" w:cs="仿宋"/>
                <w:kern w:val="0"/>
                <w:szCs w:val="21"/>
              </w:rPr>
              <w:t>（3）未组织开展乙级检测单位“双随机、一公开”抽查的，扣1分。</w:t>
            </w:r>
          </w:p>
          <w:p>
            <w:pPr>
              <w:widowControl/>
              <w:textAlignment w:val="center"/>
              <w:rPr>
                <w:rFonts w:ascii="仿宋" w:hAnsi="仿宋" w:eastAsia="仿宋" w:cs="仿宋"/>
                <w:kern w:val="0"/>
                <w:szCs w:val="21"/>
              </w:rPr>
            </w:pPr>
            <w:r>
              <w:rPr>
                <w:rFonts w:hint="eastAsia" w:ascii="仿宋" w:hAnsi="仿宋" w:eastAsia="仿宋" w:cs="仿宋"/>
                <w:kern w:val="0"/>
                <w:szCs w:val="21"/>
              </w:rPr>
              <w:t>（4）未采取措施推进项目法人抽检工作的，扣2分。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（5）重大水利工程未开展项目法人抽检工作的，扣2分。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98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质量诚信建设</w:t>
            </w:r>
            <w:r>
              <w:rPr>
                <w:rFonts w:hint="eastAsia" w:ascii="仿宋" w:hAnsi="仿宋" w:eastAsia="仿宋" w:cs="仿宋"/>
                <w:kern w:val="0"/>
                <w:szCs w:val="21"/>
              </w:rPr>
              <w:br w:type="textWrapping"/>
            </w:r>
            <w:r>
              <w:rPr>
                <w:rFonts w:hint="eastAsia" w:ascii="仿宋" w:hAnsi="仿宋" w:eastAsia="仿宋" w:cs="仿宋"/>
                <w:kern w:val="0"/>
                <w:szCs w:val="21"/>
              </w:rPr>
              <w:t>（1</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11</w:t>
            </w:r>
          </w:p>
        </w:tc>
        <w:tc>
          <w:tcPr>
            <w:tcW w:w="1280"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信用体系</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建设</w:t>
            </w:r>
          </w:p>
        </w:tc>
        <w:tc>
          <w:tcPr>
            <w:tcW w:w="6517" w:type="dxa"/>
            <w:vMerge w:val="restart"/>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按照《关于加快水利建设市场信用体系建设的实施意见》，省级水行政主管部门应制定本地区水利建设市场信用信息应用管理办法。加大信息公开力度，全面公开企业信用信息和本地区在建项目信息。提高信息公开的及时性，各类行政处罚信息应在行政处罚作出之日起20个工作日内对外发布。按照《水利部办公厅</w:t>
            </w:r>
            <w:r>
              <w:rPr>
                <w:rFonts w:hint="eastAsia" w:ascii="仿宋" w:hAnsi="仿宋" w:eastAsia="仿宋" w:cs="仿宋"/>
                <w:kern w:val="0"/>
                <w:szCs w:val="21"/>
                <w:lang w:eastAsia="zh-CN"/>
              </w:rPr>
              <w:t>关于</w:t>
            </w:r>
            <w:r>
              <w:rPr>
                <w:rFonts w:hint="eastAsia" w:ascii="仿宋" w:hAnsi="仿宋" w:eastAsia="仿宋" w:cs="仿宋"/>
                <w:kern w:val="0"/>
                <w:szCs w:val="21"/>
              </w:rPr>
              <w:t>全国水利建设市场监管服务平台上线运行的通知》要求，积极组织市场主体在监管服务平台填报信息，并做好本年度水利市场监管中各类处罚信息报送工作。加快省级监管平台或信用信息平台和全国水利建设市场监管服务平台的互联互通建设。</w:t>
            </w: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2</w:t>
            </w:r>
          </w:p>
        </w:tc>
        <w:tc>
          <w:tcPr>
            <w:tcW w:w="5320" w:type="dxa"/>
            <w:tcBorders>
              <w:tl2br w:val="nil"/>
              <w:tr2bl w:val="nil"/>
            </w:tcBorders>
            <w:vAlign w:val="center"/>
          </w:tcPr>
          <w:p>
            <w:pPr>
              <w:widowControl w:val="0"/>
              <w:textAlignment w:val="auto"/>
              <w:rPr>
                <w:rFonts w:ascii="仿宋" w:hAnsi="仿宋" w:eastAsia="仿宋" w:cs="仿宋"/>
                <w:kern w:val="0"/>
                <w:szCs w:val="21"/>
              </w:rPr>
            </w:pPr>
            <w:r>
              <w:rPr>
                <w:rFonts w:hint="eastAsia" w:ascii="仿宋" w:hAnsi="仿宋" w:eastAsia="仿宋" w:cs="仿宋"/>
                <w:kern w:val="0"/>
                <w:szCs w:val="21"/>
              </w:rPr>
              <w:t>未制定本地区水利建设市场主体信用信息应用管理办法的，扣2分。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91" w:hRule="atLeast"/>
          <w:jc w:val="center"/>
        </w:trPr>
        <w:tc>
          <w:tcPr>
            <w:tcW w:w="987" w:type="dxa"/>
            <w:vMerge w:val="continue"/>
            <w:tcBorders>
              <w:tl2br w:val="nil"/>
              <w:tr2bl w:val="nil"/>
            </w:tcBorders>
            <w:vAlign w:val="center"/>
          </w:tcPr>
          <w:p>
            <w:pPr>
              <w:widowControl/>
              <w:textAlignment w:val="center"/>
              <w:rPr>
                <w:szCs w:val="21"/>
              </w:rPr>
            </w:pPr>
          </w:p>
        </w:tc>
        <w:tc>
          <w:tcPr>
            <w:tcW w:w="567" w:type="dxa"/>
            <w:vMerge w:val="continue"/>
            <w:tcBorders>
              <w:tl2br w:val="nil"/>
              <w:tr2bl w:val="nil"/>
            </w:tcBorders>
            <w:vAlign w:val="center"/>
          </w:tcPr>
          <w:p>
            <w:pPr>
              <w:widowControl/>
              <w:textAlignment w:val="center"/>
              <w:rPr>
                <w:szCs w:val="21"/>
              </w:rPr>
            </w:pPr>
          </w:p>
        </w:tc>
        <w:tc>
          <w:tcPr>
            <w:tcW w:w="1280" w:type="dxa"/>
            <w:vMerge w:val="continue"/>
            <w:tcBorders>
              <w:tl2br w:val="nil"/>
              <w:tr2bl w:val="nil"/>
            </w:tcBorders>
            <w:vAlign w:val="center"/>
          </w:tcPr>
          <w:p>
            <w:pPr>
              <w:widowControl/>
              <w:textAlignment w:val="center"/>
              <w:rPr>
                <w:szCs w:val="21"/>
              </w:rPr>
            </w:pPr>
          </w:p>
        </w:tc>
        <w:tc>
          <w:tcPr>
            <w:tcW w:w="6517" w:type="dxa"/>
            <w:vMerge w:val="continue"/>
            <w:tcBorders>
              <w:tl2br w:val="nil"/>
              <w:tr2bl w:val="nil"/>
            </w:tcBorders>
            <w:vAlign w:val="center"/>
          </w:tcPr>
          <w:p>
            <w:pPr>
              <w:widowControl/>
              <w:textAlignment w:val="center"/>
              <w:rPr>
                <w:szCs w:val="21"/>
              </w:rPr>
            </w:pPr>
          </w:p>
        </w:tc>
        <w:tc>
          <w:tcPr>
            <w:tcW w:w="567" w:type="dxa"/>
            <w:vMerge w:val="continue"/>
            <w:tcBorders>
              <w:tl2br w:val="nil"/>
              <w:tr2bl w:val="nil"/>
            </w:tcBorders>
            <w:vAlign w:val="center"/>
          </w:tcPr>
          <w:p>
            <w:pPr>
              <w:widowControl/>
              <w:textAlignment w:val="center"/>
              <w:rPr>
                <w:szCs w:val="21"/>
              </w:rPr>
            </w:pPr>
          </w:p>
        </w:tc>
        <w:tc>
          <w:tcPr>
            <w:tcW w:w="5320" w:type="dxa"/>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加大信息公开：</w:t>
            </w:r>
          </w:p>
          <w:p>
            <w:pPr>
              <w:rPr>
                <w:rFonts w:ascii="仿宋" w:hAnsi="仿宋" w:eastAsia="仿宋" w:cs="仿宋"/>
                <w:kern w:val="0"/>
                <w:szCs w:val="21"/>
              </w:rPr>
            </w:pPr>
            <w:r>
              <w:rPr>
                <w:rFonts w:hint="eastAsia" w:ascii="仿宋" w:hAnsi="仿宋" w:eastAsia="仿宋" w:cs="仿宋"/>
                <w:kern w:val="0"/>
                <w:szCs w:val="21"/>
              </w:rPr>
              <w:t>（1）未发布企业信用信息或发布信用信息不全的，扣1-</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p>
            <w:pPr>
              <w:rPr>
                <w:rFonts w:ascii="仿宋" w:hAnsi="仿宋" w:eastAsia="仿宋" w:cs="仿宋"/>
                <w:kern w:val="0"/>
                <w:szCs w:val="21"/>
              </w:rPr>
            </w:pPr>
            <w:r>
              <w:rPr>
                <w:rFonts w:hint="eastAsia" w:ascii="仿宋" w:hAnsi="仿宋" w:eastAsia="仿宋" w:cs="仿宋"/>
                <w:kern w:val="0"/>
                <w:szCs w:val="21"/>
              </w:rPr>
              <w:t>（2）未发布在建项目信息或发布在建项目信息不全的，扣1-</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（3）未按规定时间公布行政处理决定的，扣</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91" w:hRule="atLeast"/>
          <w:jc w:val="center"/>
        </w:trPr>
        <w:tc>
          <w:tcPr>
            <w:tcW w:w="98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1280"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651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320" w:type="dxa"/>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积极组织各市场主体在全国水利建设市场监管服务平台填报信息，做好本地区各类行政处罚信息报送工作：</w:t>
            </w:r>
          </w:p>
          <w:p>
            <w:pPr>
              <w:rPr>
                <w:rFonts w:ascii="仿宋" w:hAnsi="仿宋" w:eastAsia="仿宋" w:cs="仿宋"/>
                <w:kern w:val="0"/>
                <w:szCs w:val="21"/>
              </w:rPr>
            </w:pPr>
            <w:r>
              <w:rPr>
                <w:rFonts w:hint="eastAsia" w:ascii="仿宋" w:hAnsi="仿宋" w:eastAsia="仿宋" w:cs="仿宋"/>
                <w:kern w:val="0"/>
                <w:szCs w:val="21"/>
              </w:rPr>
              <w:t>（1）未组织市场主体在监管服务平台填报信息的，扣2分。</w:t>
            </w:r>
          </w:p>
          <w:p>
            <w:pPr>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市场主体在全国水利建设市场监管服务平台活跃度低于</w:t>
            </w:r>
            <w:r>
              <w:rPr>
                <w:rFonts w:hint="eastAsia" w:ascii="仿宋" w:hAnsi="仿宋" w:eastAsia="仿宋" w:cs="仿宋"/>
                <w:kern w:val="0"/>
                <w:szCs w:val="21"/>
                <w:lang w:val="en-US" w:eastAsia="zh-CN"/>
              </w:rPr>
              <w:t>50%的</w:t>
            </w:r>
            <w:r>
              <w:rPr>
                <w:rFonts w:hint="eastAsia" w:ascii="仿宋" w:hAnsi="仿宋" w:eastAsia="仿宋" w:cs="仿宋"/>
                <w:kern w:val="0"/>
                <w:szCs w:val="21"/>
              </w:rPr>
              <w:t>，扣</w:t>
            </w:r>
            <w:r>
              <w:rPr>
                <w:rFonts w:hint="eastAsia" w:ascii="仿宋" w:hAnsi="仿宋" w:eastAsia="仿宋" w:cs="仿宋"/>
                <w:kern w:val="0"/>
                <w:szCs w:val="21"/>
                <w:lang w:val="en-US" w:eastAsia="zh-CN"/>
              </w:rPr>
              <w:t>1-2</w:t>
            </w:r>
            <w:r>
              <w:rPr>
                <w:rFonts w:hint="eastAsia" w:ascii="仿宋" w:hAnsi="仿宋" w:eastAsia="仿宋" w:cs="仿宋"/>
                <w:kern w:val="0"/>
                <w:szCs w:val="21"/>
              </w:rPr>
              <w:t>分。</w:t>
            </w:r>
          </w:p>
          <w:p>
            <w:pPr>
              <w:rPr>
                <w:rFonts w:ascii="仿宋" w:hAnsi="仿宋" w:eastAsia="仿宋" w:cs="仿宋"/>
                <w:kern w:val="0"/>
                <w:szCs w:val="21"/>
              </w:rPr>
            </w:pPr>
            <w:r>
              <w:rPr>
                <w:rFonts w:hint="eastAsia" w:ascii="仿宋" w:hAnsi="仿宋" w:eastAsia="仿宋" w:cs="仿宋"/>
                <w:kern w:val="0"/>
                <w:szCs w:val="21"/>
              </w:rPr>
              <w:t>（3）报送各类行政处罚信息少于3条，扣1分。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2" w:hRule="atLeast"/>
          <w:jc w:val="center"/>
        </w:trPr>
        <w:tc>
          <w:tcPr>
            <w:tcW w:w="98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质量问题处理</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6</w:t>
            </w:r>
            <w:r>
              <w:rPr>
                <w:rFonts w:hint="eastAsia" w:ascii="仿宋" w:hAnsi="仿宋" w:eastAsia="仿宋" w:cs="仿宋"/>
                <w:kern w:val="0"/>
                <w:szCs w:val="21"/>
              </w:rPr>
              <w:t>分）</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12</w:t>
            </w:r>
          </w:p>
        </w:tc>
        <w:tc>
          <w:tcPr>
            <w:tcW w:w="1280" w:type="dxa"/>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质量事故</w:t>
            </w:r>
          </w:p>
          <w:p>
            <w:pPr>
              <w:rPr>
                <w:rFonts w:ascii="仿宋" w:hAnsi="仿宋" w:eastAsia="仿宋" w:cs="仿宋"/>
                <w:kern w:val="0"/>
                <w:szCs w:val="21"/>
              </w:rPr>
            </w:pPr>
            <w:r>
              <w:rPr>
                <w:rFonts w:hint="eastAsia" w:ascii="仿宋" w:hAnsi="仿宋" w:eastAsia="仿宋" w:cs="仿宋"/>
                <w:kern w:val="0"/>
                <w:szCs w:val="21"/>
              </w:rPr>
              <w:t>调查处理</w:t>
            </w:r>
          </w:p>
          <w:p>
            <w:pPr>
              <w:rPr>
                <w:rFonts w:ascii="仿宋" w:hAnsi="仿宋" w:eastAsia="仿宋" w:cs="仿宋"/>
                <w:kern w:val="0"/>
                <w:szCs w:val="21"/>
              </w:rPr>
            </w:pPr>
            <w:r>
              <w:rPr>
                <w:rFonts w:hint="eastAsia" w:ascii="仿宋" w:hAnsi="仿宋" w:eastAsia="仿宋" w:cs="仿宋"/>
                <w:kern w:val="0"/>
                <w:szCs w:val="21"/>
              </w:rPr>
              <w:t>和责任追究</w:t>
            </w:r>
          </w:p>
        </w:tc>
        <w:tc>
          <w:tcPr>
            <w:tcW w:w="6517" w:type="dxa"/>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质量事故发生后，按照国家和水利部有关规定，根据管理权限组织调查组进行调查，查明事故原因，提交调查报告；造成质量事故的，要依法追究有关从业人员的责任；因调动工作、退休等原因离开原单位的相关人员，如在原单位工作期间违反工程质量管理有关规定，或未切实履行相应职责，造成重大质量事故的，也要依法追究其终身责任。</w:t>
            </w:r>
          </w:p>
        </w:tc>
        <w:tc>
          <w:tcPr>
            <w:tcW w:w="567" w:type="dxa"/>
            <w:tcBorders>
              <w:tl2br w:val="nil"/>
              <w:tr2bl w:val="nil"/>
            </w:tcBorders>
            <w:vAlign w:val="center"/>
          </w:tcPr>
          <w:p>
            <w:pPr>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3</w:t>
            </w:r>
          </w:p>
        </w:tc>
        <w:tc>
          <w:tcPr>
            <w:tcW w:w="5320" w:type="dxa"/>
            <w:tcBorders>
              <w:tl2br w:val="nil"/>
              <w:tr2bl w:val="nil"/>
            </w:tcBorders>
            <w:vAlign w:val="center"/>
          </w:tcPr>
          <w:p>
            <w:pPr>
              <w:rPr>
                <w:rFonts w:ascii="仿宋" w:hAnsi="仿宋" w:eastAsia="仿宋" w:cs="仿宋"/>
                <w:kern w:val="0"/>
                <w:szCs w:val="21"/>
              </w:rPr>
            </w:pPr>
            <w:r>
              <w:rPr>
                <w:rFonts w:hint="eastAsia" w:ascii="仿宋" w:hAnsi="仿宋" w:eastAsia="仿宋" w:cs="仿宋"/>
                <w:kern w:val="0"/>
                <w:szCs w:val="21"/>
              </w:rPr>
              <w:t>对发生的质量事故：</w:t>
            </w:r>
          </w:p>
          <w:p>
            <w:pPr>
              <w:rPr>
                <w:rFonts w:ascii="仿宋" w:hAnsi="仿宋" w:eastAsia="仿宋" w:cs="仿宋"/>
                <w:kern w:val="0"/>
                <w:szCs w:val="21"/>
              </w:rPr>
            </w:pPr>
            <w:r>
              <w:rPr>
                <w:rFonts w:hint="eastAsia" w:ascii="仿宋" w:hAnsi="仿宋" w:eastAsia="仿宋" w:cs="仿宋"/>
                <w:kern w:val="0"/>
                <w:szCs w:val="21"/>
              </w:rPr>
              <w:t>（1）未按规定开展调查处理的，扣</w:t>
            </w:r>
            <w:r>
              <w:rPr>
                <w:rFonts w:hint="eastAsia" w:ascii="仿宋" w:hAnsi="仿宋" w:eastAsia="仿宋" w:cs="仿宋"/>
                <w:kern w:val="0"/>
                <w:szCs w:val="21"/>
                <w:lang w:val="en-US" w:eastAsia="zh-CN"/>
              </w:rPr>
              <w:t>3</w:t>
            </w:r>
            <w:r>
              <w:rPr>
                <w:rFonts w:hint="eastAsia" w:ascii="仿宋" w:hAnsi="仿宋" w:eastAsia="仿宋" w:cs="仿宋"/>
                <w:kern w:val="0"/>
                <w:szCs w:val="21"/>
              </w:rPr>
              <w:t>分。</w:t>
            </w:r>
          </w:p>
          <w:p>
            <w:pPr>
              <w:rPr>
                <w:rFonts w:ascii="仿宋" w:hAnsi="仿宋" w:eastAsia="仿宋" w:cs="仿宋"/>
                <w:kern w:val="0"/>
                <w:szCs w:val="21"/>
              </w:rPr>
            </w:pPr>
            <w:r>
              <w:rPr>
                <w:rFonts w:hint="eastAsia" w:ascii="仿宋" w:hAnsi="仿宋" w:eastAsia="仿宋" w:cs="仿宋"/>
                <w:kern w:val="0"/>
                <w:szCs w:val="21"/>
              </w:rPr>
              <w:t>（2）调查处理和责任追究不及时的，扣1分。</w:t>
            </w:r>
          </w:p>
          <w:p>
            <w:pPr>
              <w:rPr>
                <w:rFonts w:ascii="仿宋" w:hAnsi="仿宋" w:eastAsia="仿宋" w:cs="仿宋"/>
                <w:kern w:val="0"/>
                <w:szCs w:val="21"/>
              </w:rPr>
            </w:pPr>
            <w:r>
              <w:rPr>
                <w:rFonts w:hint="eastAsia" w:ascii="仿宋" w:hAnsi="仿宋" w:eastAsia="仿宋" w:cs="仿宋"/>
                <w:kern w:val="0"/>
                <w:szCs w:val="21"/>
              </w:rPr>
              <w:t>（3）未按“三不放过”原则调查处理的，扣1分。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7"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13</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质量举报</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投诉受理</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省级水行政主管部门应设立水利工程质量举报投诉电话、传真、信箱，运用现代信息技术完善质量投诉举报信息平台，并向社会公开。</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3</w:t>
            </w:r>
          </w:p>
        </w:tc>
        <w:tc>
          <w:tcPr>
            <w:tcW w:w="5320" w:type="dxa"/>
            <w:tcBorders>
              <w:tl2br w:val="nil"/>
              <w:tr2bl w:val="nil"/>
            </w:tcBorders>
            <w:vAlign w:val="center"/>
          </w:tcPr>
          <w:p>
            <w:pPr>
              <w:widowControl/>
              <w:numPr>
                <w:ilvl w:val="0"/>
                <w:numId w:val="4"/>
              </w:numPr>
              <w:textAlignment w:val="center"/>
              <w:rPr>
                <w:rFonts w:ascii="仿宋" w:hAnsi="仿宋" w:eastAsia="仿宋" w:cs="仿宋"/>
                <w:kern w:val="0"/>
                <w:szCs w:val="21"/>
              </w:rPr>
            </w:pPr>
            <w:r>
              <w:rPr>
                <w:rFonts w:hint="eastAsia" w:ascii="仿宋" w:hAnsi="仿宋" w:eastAsia="仿宋" w:cs="仿宋"/>
                <w:kern w:val="0"/>
                <w:szCs w:val="21"/>
              </w:rPr>
              <w:t>未设立质量举报投诉</w:t>
            </w:r>
            <w:r>
              <w:rPr>
                <w:rFonts w:hint="eastAsia" w:ascii="仿宋" w:hAnsi="仿宋" w:eastAsia="仿宋" w:cs="仿宋"/>
                <w:kern w:val="0"/>
                <w:szCs w:val="21"/>
                <w:lang w:eastAsia="zh-CN"/>
              </w:rPr>
              <w:t>电话、传真、信箱或</w:t>
            </w:r>
            <w:r>
              <w:rPr>
                <w:rFonts w:hint="eastAsia" w:ascii="仿宋" w:hAnsi="仿宋" w:eastAsia="仿宋" w:cs="仿宋"/>
                <w:kern w:val="0"/>
                <w:szCs w:val="21"/>
              </w:rPr>
              <w:t>平台的，扣2分。</w:t>
            </w:r>
          </w:p>
          <w:p>
            <w:pPr>
              <w:widowControl/>
              <w:numPr>
                <w:ilvl w:val="0"/>
                <w:numId w:val="4"/>
              </w:numPr>
              <w:textAlignment w:val="center"/>
              <w:rPr>
                <w:rFonts w:ascii="仿宋" w:hAnsi="仿宋" w:eastAsia="仿宋" w:cs="仿宋"/>
                <w:kern w:val="0"/>
                <w:szCs w:val="21"/>
              </w:rPr>
            </w:pPr>
            <w:r>
              <w:rPr>
                <w:rFonts w:hint="eastAsia" w:ascii="仿宋" w:hAnsi="仿宋" w:eastAsia="仿宋" w:cs="仿宋"/>
                <w:kern w:val="0"/>
                <w:szCs w:val="21"/>
              </w:rPr>
              <w:t>投诉受理渠道未向社会公开或不畅通的，扣1分。</w:t>
            </w:r>
          </w:p>
          <w:p>
            <w:pPr>
              <w:widowControl/>
              <w:textAlignment w:val="center"/>
              <w:rPr>
                <w:rFonts w:ascii="仿宋" w:hAnsi="仿宋" w:eastAsia="仿宋" w:cs="仿宋"/>
                <w:kern w:val="0"/>
                <w:szCs w:val="21"/>
              </w:rPr>
            </w:pPr>
            <w:r>
              <w:rPr>
                <w:rFonts w:hint="eastAsia" w:ascii="仿宋" w:hAnsi="仿宋" w:eastAsia="仿宋" w:cs="仿宋"/>
                <w:kern w:val="0"/>
                <w:szCs w:val="21"/>
              </w:rPr>
              <w:t>（3）举报投诉受理后未开展调查处理工作的，扣1分。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28" w:hRule="atLeast"/>
          <w:jc w:val="center"/>
        </w:trPr>
        <w:tc>
          <w:tcPr>
            <w:tcW w:w="98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质量基础工作</w:t>
            </w:r>
            <w:r>
              <w:rPr>
                <w:rFonts w:hint="eastAsia" w:ascii="仿宋" w:hAnsi="仿宋" w:eastAsia="仿宋" w:cs="仿宋"/>
                <w:kern w:val="0"/>
                <w:szCs w:val="21"/>
              </w:rPr>
              <w:br w:type="textWrapping"/>
            </w:r>
            <w:r>
              <w:rPr>
                <w:rFonts w:hint="eastAsia" w:ascii="仿宋" w:hAnsi="仿宋" w:eastAsia="仿宋" w:cs="仿宋"/>
                <w:kern w:val="0"/>
                <w:szCs w:val="21"/>
              </w:rPr>
              <w:t>（3</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14</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落实质量</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终身责任制</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严格执行工程质量终身责任制，项目法人、勘察、设计、施工、监理、质量检测等参建单位工作人员，按各自职责对相应工程质量负终身责任。明确项目法人首要责任和勘察、设计、施工主体责任；</w:t>
            </w:r>
            <w:r>
              <w:rPr>
                <w:rFonts w:ascii="仿宋" w:hAnsi="仿宋" w:eastAsia="仿宋" w:cs="仿宋"/>
                <w:kern w:val="0"/>
                <w:szCs w:val="21"/>
              </w:rPr>
              <w:t>在</w:t>
            </w:r>
            <w:r>
              <w:rPr>
                <w:rFonts w:hint="eastAsia" w:ascii="仿宋" w:hAnsi="仿宋" w:eastAsia="仿宋" w:cs="仿宋"/>
                <w:kern w:val="0"/>
                <w:szCs w:val="21"/>
              </w:rPr>
              <w:t>水利工程</w:t>
            </w:r>
            <w:r>
              <w:rPr>
                <w:rFonts w:ascii="仿宋" w:hAnsi="仿宋" w:eastAsia="仿宋" w:cs="仿宋"/>
                <w:kern w:val="0"/>
                <w:szCs w:val="21"/>
              </w:rPr>
              <w:t>建筑物明显部位设置永久性标牌，公示质量责任主体和主要责任人。</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6</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（1）未制订落实水利工程建设质量终身责任制相关制度办法的，扣6分。</w:t>
            </w:r>
          </w:p>
          <w:p>
            <w:pPr>
              <w:widowControl/>
              <w:textAlignment w:val="center"/>
              <w:rPr>
                <w:rFonts w:ascii="仿宋" w:hAnsi="仿宋" w:eastAsia="仿宋" w:cs="仿宋"/>
                <w:kern w:val="0"/>
                <w:szCs w:val="21"/>
              </w:rPr>
            </w:pPr>
            <w:r>
              <w:rPr>
                <w:rFonts w:hint="eastAsia" w:ascii="仿宋" w:hAnsi="仿宋" w:eastAsia="仿宋" w:cs="仿宋"/>
                <w:kern w:val="0"/>
                <w:szCs w:val="21"/>
              </w:rPr>
              <w:t>（2）现行有关制度办法对落实质量终身责任制的要求不具体、不明确的，扣</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（3）未监督检查在建项目参建单位落实质量责任制的，扣</w:t>
            </w:r>
            <w:r>
              <w:rPr>
                <w:rFonts w:hint="eastAsia" w:ascii="仿宋" w:hAnsi="仿宋" w:eastAsia="仿宋" w:cs="仿宋"/>
                <w:kern w:val="0"/>
                <w:szCs w:val="21"/>
                <w:lang w:val="en-US" w:eastAsia="zh-CN"/>
              </w:rPr>
              <w:t>2</w:t>
            </w:r>
            <w:r>
              <w:rPr>
                <w:rFonts w:hint="eastAsia" w:ascii="仿宋" w:hAnsi="仿宋" w:eastAsia="仿宋" w:cs="仿宋"/>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67"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15</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市场监督</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管理</w:t>
            </w:r>
          </w:p>
        </w:tc>
        <w:tc>
          <w:tcPr>
            <w:tcW w:w="6517" w:type="dxa"/>
            <w:tcBorders>
              <w:tl2br w:val="nil"/>
              <w:tr2bl w:val="nil"/>
            </w:tcBorders>
            <w:vAlign w:val="center"/>
          </w:tcPr>
          <w:p>
            <w:pPr>
              <w:widowControl/>
              <w:textAlignment w:val="center"/>
              <w:rPr>
                <w:rFonts w:ascii="仿宋" w:hAnsi="仿宋" w:eastAsia="仿宋" w:cs="仿宋"/>
                <w:kern w:val="0"/>
                <w:sz w:val="24"/>
                <w:szCs w:val="21"/>
              </w:rPr>
            </w:pPr>
            <w:r>
              <w:rPr>
                <w:rFonts w:hint="eastAsia" w:ascii="仿宋" w:hAnsi="仿宋" w:eastAsia="仿宋" w:cs="仿宋"/>
                <w:kern w:val="0"/>
                <w:szCs w:val="21"/>
              </w:rPr>
              <w:t>各级水行政主管部门应加大执法力度，对在水利建设市场监督管理等工作中发现的转包、违法分包、出借借用资质等违法行为，应当依法进行调查和处罚。接到转包、违法分包、出借借用资质等违法行为举报的水行政主管部门，应当依法受理、调查、认定和处理，除无法告知举报人的情况外，应当将查处结果告知举报人。强化措施，有效预防和解决拖欠农民工工资问题，切实保障农民工劳动报酬权益。</w:t>
            </w:r>
          </w:p>
        </w:tc>
        <w:tc>
          <w:tcPr>
            <w:tcW w:w="567" w:type="dxa"/>
            <w:tcBorders>
              <w:tl2br w:val="nil"/>
              <w:tr2bl w:val="nil"/>
            </w:tcBorders>
            <w:vAlign w:val="center"/>
          </w:tcPr>
          <w:p>
            <w:pPr>
              <w:widowControl/>
              <w:jc w:val="center"/>
              <w:textAlignment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9</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（1）未部署开展在建项目市场主体履约情况监督检查的，扣3分。</w:t>
            </w:r>
          </w:p>
          <w:p>
            <w:pPr>
              <w:widowControl/>
              <w:textAlignment w:val="center"/>
              <w:rPr>
                <w:rFonts w:ascii="仿宋" w:hAnsi="仿宋" w:eastAsia="仿宋" w:cs="仿宋"/>
                <w:kern w:val="0"/>
                <w:szCs w:val="21"/>
              </w:rPr>
            </w:pPr>
            <w:r>
              <w:rPr>
                <w:rFonts w:hint="eastAsia" w:ascii="仿宋" w:hAnsi="仿宋" w:eastAsia="仿宋" w:cs="仿宋"/>
                <w:kern w:val="0"/>
                <w:szCs w:val="21"/>
              </w:rPr>
              <w:t>（2）未部署开展打击出借借用资质、围标串标、转包、违法分包等违法违规行为的，扣2分。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（3）接到出借借用资质、围标串标、转包、违法分包等举报未依法受理、调查、认定和处理的，扣2分。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（4）未见农民工工资清欠相关工作文件或检查活动材料的，扣2分。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05"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16</w:t>
            </w:r>
          </w:p>
        </w:tc>
        <w:tc>
          <w:tcPr>
            <w:tcW w:w="1280"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质量监督</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检查</w:t>
            </w:r>
          </w:p>
        </w:tc>
        <w:tc>
          <w:tcPr>
            <w:tcW w:w="6517" w:type="dxa"/>
            <w:vMerge w:val="restart"/>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或质量监督机构应严格按照法律法规加强质量监管，采取巡查、抽查等方式，实行分类、差别化监管，对水利工程从业单位和从业人员的质量行为及工程实体质量进行检查，督促各单位建立健全质量保证体系。及时开展强制性条文执行情况监督检查。</w:t>
            </w: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10</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对在建项目参建单位质量保证体系、强制性条文执行、质量行为和工程实体质量开展监督检查的情况：</w:t>
            </w:r>
          </w:p>
          <w:p>
            <w:pPr>
              <w:widowControl/>
              <w:textAlignment w:val="center"/>
              <w:rPr>
                <w:rFonts w:ascii="仿宋" w:hAnsi="仿宋" w:eastAsia="仿宋" w:cs="仿宋"/>
                <w:kern w:val="0"/>
                <w:szCs w:val="21"/>
              </w:rPr>
            </w:pPr>
            <w:r>
              <w:rPr>
                <w:rFonts w:hint="eastAsia" w:ascii="仿宋" w:hAnsi="仿宋" w:eastAsia="仿宋" w:cs="仿宋"/>
                <w:kern w:val="0"/>
                <w:szCs w:val="21"/>
              </w:rPr>
              <w:t>（1）对省级组建项目法人的在建水利工程和本行政区域管辖的节水供水重大水利工程，未开展监督检查的，或开展的监督检查未全覆盖或检查记录不全的，扣</w:t>
            </w:r>
            <w:r>
              <w:rPr>
                <w:rFonts w:hint="eastAsia" w:ascii="仿宋" w:hAnsi="仿宋" w:eastAsia="仿宋" w:cs="仿宋"/>
                <w:kern w:val="0"/>
                <w:szCs w:val="21"/>
                <w:lang w:val="en-US" w:eastAsia="zh-CN"/>
              </w:rPr>
              <w:t>3-4</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（2）对市级组建项目法人的在建水利工程开展监督抽查占比未达到10%或无监督检查记录的，扣2分。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（3）对县级组建项目法人的在建水利工程开展监督抽查占比未达到5%或无监督检查记录的，扣2分。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05"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1280"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651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考核年度内委托质量检测机构对监督检查的在建项目开展质量抽样检测工作情况：</w:t>
            </w:r>
          </w:p>
          <w:p>
            <w:pPr>
              <w:widowControl/>
              <w:textAlignment w:val="center"/>
              <w:rPr>
                <w:rFonts w:ascii="仿宋" w:hAnsi="仿宋" w:eastAsia="仿宋" w:cs="仿宋"/>
                <w:kern w:val="0"/>
                <w:szCs w:val="21"/>
              </w:rPr>
            </w:pPr>
            <w:r>
              <w:rPr>
                <w:rFonts w:hint="eastAsia" w:ascii="仿宋" w:hAnsi="仿宋" w:eastAsia="仿宋" w:cs="仿宋"/>
                <w:kern w:val="0"/>
                <w:szCs w:val="21"/>
              </w:rPr>
              <w:t>（1）质量抽样检测未涵盖省、市、县实施项目的，扣2分。</w:t>
            </w:r>
          </w:p>
          <w:p>
            <w:pPr>
              <w:widowControl/>
              <w:textAlignment w:val="center"/>
              <w:rPr>
                <w:rFonts w:ascii="仿宋" w:hAnsi="仿宋" w:eastAsia="仿宋" w:cs="仿宋"/>
                <w:kern w:val="0"/>
                <w:szCs w:val="21"/>
              </w:rPr>
            </w:pPr>
            <w:r>
              <w:rPr>
                <w:rFonts w:hint="eastAsia" w:ascii="仿宋" w:hAnsi="仿宋" w:eastAsia="仿宋" w:cs="仿宋"/>
                <w:kern w:val="0"/>
                <w:szCs w:val="21"/>
              </w:rPr>
              <w:t>（2）对省级组建项目法人的在建水利工程和本行政区域管辖的节水供水重大水利工程，质量抽样检测未全覆盖的，扣1分。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27"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17</w:t>
            </w:r>
          </w:p>
        </w:tc>
        <w:tc>
          <w:tcPr>
            <w:tcW w:w="1280"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信息管理</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系统建设</w:t>
            </w:r>
          </w:p>
        </w:tc>
        <w:tc>
          <w:tcPr>
            <w:tcW w:w="6517"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省级水行政主管部门应加快水利工程质量管理信息化建设，加强对水利工程质量信息的采集、追踪、分析和处理，提高质量控制和质量管理的信息化水平。</w:t>
            </w:r>
          </w:p>
        </w:tc>
        <w:tc>
          <w:tcPr>
            <w:tcW w:w="567" w:type="dxa"/>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3</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（1）未建设质量信息管理系统的，扣</w:t>
            </w:r>
            <w:r>
              <w:rPr>
                <w:rFonts w:hint="eastAsia" w:ascii="仿宋" w:hAnsi="仿宋" w:eastAsia="仿宋" w:cs="仿宋"/>
                <w:kern w:val="0"/>
                <w:szCs w:val="21"/>
                <w:lang w:val="en-US" w:eastAsia="zh-CN"/>
              </w:rPr>
              <w:t>3</w:t>
            </w:r>
            <w:r>
              <w:rPr>
                <w:rFonts w:hint="eastAsia" w:ascii="仿宋" w:hAnsi="仿宋" w:eastAsia="仿宋" w:cs="仿宋"/>
                <w:kern w:val="0"/>
                <w:szCs w:val="21"/>
              </w:rPr>
              <w:t>分。</w:t>
            </w:r>
          </w:p>
          <w:p>
            <w:pPr>
              <w:widowControl/>
              <w:textAlignment w:val="center"/>
              <w:rPr>
                <w:rFonts w:ascii="仿宋" w:hAnsi="仿宋" w:eastAsia="仿宋" w:cs="仿宋"/>
                <w:kern w:val="0"/>
                <w:szCs w:val="21"/>
              </w:rPr>
            </w:pPr>
            <w:r>
              <w:rPr>
                <w:rFonts w:hint="eastAsia" w:ascii="仿宋" w:hAnsi="仿宋" w:eastAsia="仿宋" w:cs="仿宋"/>
                <w:kern w:val="0"/>
                <w:szCs w:val="21"/>
              </w:rPr>
              <w:t>（2）在建项目质量信息动态监控粗放或质量信息管理不规范的，扣1分。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47"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18</w:t>
            </w:r>
          </w:p>
        </w:tc>
        <w:tc>
          <w:tcPr>
            <w:tcW w:w="1280"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质量宣传</w:t>
            </w:r>
          </w:p>
          <w:p>
            <w:pPr>
              <w:widowControl/>
              <w:jc w:val="center"/>
              <w:textAlignment w:val="center"/>
              <w:rPr>
                <w:rFonts w:ascii="仿宋" w:hAnsi="仿宋" w:eastAsia="仿宋" w:cs="仿宋"/>
                <w:kern w:val="0"/>
                <w:szCs w:val="21"/>
              </w:rPr>
            </w:pPr>
            <w:r>
              <w:rPr>
                <w:rFonts w:hint="eastAsia" w:ascii="仿宋" w:hAnsi="仿宋" w:eastAsia="仿宋" w:cs="仿宋"/>
                <w:kern w:val="0"/>
                <w:szCs w:val="21"/>
              </w:rPr>
              <w:t>教育和培训</w:t>
            </w:r>
          </w:p>
        </w:tc>
        <w:tc>
          <w:tcPr>
            <w:tcW w:w="6517" w:type="dxa"/>
            <w:vMerge w:val="restart"/>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省级水行政主管部门应采取多种宣传形式，加大宣传力度，增强人们对水利工程质量重要性的认识，提升全行业质量意识，努力形成政府重视质量、企业追求质量、行业崇尚质量、人人关心质量的良好氛围。各级水行政主管部门要定期组织工程质量教育培训，推动全行业人员素质不断提升。</w:t>
            </w:r>
          </w:p>
        </w:tc>
        <w:tc>
          <w:tcPr>
            <w:tcW w:w="567" w:type="dxa"/>
            <w:vMerge w:val="restart"/>
            <w:tcBorders>
              <w:tl2br w:val="nil"/>
              <w:tr2bl w:val="nil"/>
            </w:tcBorders>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4</w:t>
            </w: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未开展强制性条文宣贯的，扣2分。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9" w:hRule="atLeast"/>
          <w:jc w:val="center"/>
        </w:trPr>
        <w:tc>
          <w:tcPr>
            <w:tcW w:w="98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1280"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6517" w:type="dxa"/>
            <w:vMerge w:val="continue"/>
            <w:tcBorders>
              <w:tl2br w:val="nil"/>
              <w:tr2bl w:val="nil"/>
            </w:tcBorders>
            <w:vAlign w:val="center"/>
          </w:tcPr>
          <w:p>
            <w:pPr>
              <w:widowControl/>
              <w:textAlignment w:val="center"/>
              <w:rPr>
                <w:rFonts w:ascii="仿宋" w:hAnsi="仿宋" w:eastAsia="仿宋" w:cs="仿宋"/>
                <w:kern w:val="0"/>
                <w:szCs w:val="21"/>
              </w:rPr>
            </w:pPr>
          </w:p>
        </w:tc>
        <w:tc>
          <w:tcPr>
            <w:tcW w:w="567" w:type="dxa"/>
            <w:vMerge w:val="continue"/>
            <w:tcBorders>
              <w:tl2br w:val="nil"/>
              <w:tr2bl w:val="nil"/>
            </w:tcBorders>
            <w:vAlign w:val="center"/>
          </w:tcPr>
          <w:p>
            <w:pPr>
              <w:widowControl/>
              <w:jc w:val="center"/>
              <w:textAlignment w:val="center"/>
              <w:rPr>
                <w:rFonts w:ascii="仿宋" w:hAnsi="仿宋" w:eastAsia="仿宋" w:cs="仿宋"/>
                <w:kern w:val="0"/>
                <w:szCs w:val="21"/>
              </w:rPr>
            </w:pPr>
          </w:p>
        </w:tc>
        <w:tc>
          <w:tcPr>
            <w:tcW w:w="5320" w:type="dxa"/>
            <w:tcBorders>
              <w:tl2br w:val="nil"/>
              <w:tr2bl w:val="nil"/>
            </w:tcBorders>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未开展行业质量管理业务技能等培训的，扣2分。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2" w:hRule="atLeast"/>
          <w:jc w:val="center"/>
        </w:trPr>
        <w:tc>
          <w:tcPr>
            <w:tcW w:w="987" w:type="dxa"/>
            <w:tcBorders>
              <w:tl2br w:val="nil"/>
              <w:tr2bl w:val="nil"/>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其他</w:t>
            </w:r>
          </w:p>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扣分项</w:t>
            </w:r>
          </w:p>
        </w:tc>
        <w:tc>
          <w:tcPr>
            <w:tcW w:w="567" w:type="dxa"/>
            <w:tcBorders>
              <w:tl2br w:val="nil"/>
              <w:tr2bl w:val="nil"/>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19</w:t>
            </w:r>
          </w:p>
        </w:tc>
        <w:tc>
          <w:tcPr>
            <w:tcW w:w="13684" w:type="dxa"/>
            <w:gridSpan w:val="4"/>
            <w:tcBorders>
              <w:tl2br w:val="nil"/>
              <w:tr2bl w:val="nil"/>
            </w:tcBorders>
            <w:vAlign w:val="center"/>
          </w:tcPr>
          <w:p>
            <w:pPr>
              <w:widowControl/>
              <w:numPr>
                <w:ilvl w:val="0"/>
                <w:numId w:val="5"/>
              </w:numPr>
              <w:jc w:val="left"/>
              <w:textAlignment w:val="center"/>
              <w:rPr>
                <w:rFonts w:ascii="仿宋" w:hAnsi="仿宋" w:eastAsia="仿宋" w:cs="仿宋"/>
                <w:kern w:val="0"/>
                <w:szCs w:val="21"/>
              </w:rPr>
            </w:pPr>
            <w:r>
              <w:rPr>
                <w:rFonts w:hint="eastAsia" w:ascii="仿宋" w:hAnsi="仿宋" w:eastAsia="仿宋" w:cs="仿宋"/>
                <w:kern w:val="0"/>
                <w:szCs w:val="21"/>
              </w:rPr>
              <w:t>发生一般质量事故的，每发生一起扣5分。</w:t>
            </w:r>
          </w:p>
          <w:p>
            <w:pPr>
              <w:widowControl/>
              <w:numPr>
                <w:ilvl w:val="0"/>
                <w:numId w:val="5"/>
              </w:numPr>
              <w:jc w:val="left"/>
              <w:textAlignment w:val="center"/>
              <w:rPr>
                <w:rFonts w:ascii="仿宋" w:hAnsi="仿宋" w:eastAsia="仿宋" w:cs="仿宋"/>
                <w:kern w:val="0"/>
                <w:szCs w:val="21"/>
              </w:rPr>
            </w:pPr>
            <w:r>
              <w:rPr>
                <w:rFonts w:hint="eastAsia" w:ascii="仿宋" w:hAnsi="仿宋" w:eastAsia="仿宋" w:cs="仿宋"/>
                <w:kern w:val="0"/>
                <w:szCs w:val="21"/>
              </w:rPr>
              <w:t>发生较大质量事故的，每发生一起扣20分。</w:t>
            </w:r>
          </w:p>
          <w:p>
            <w:pPr>
              <w:widowControl/>
              <w:numPr>
                <w:ilvl w:val="0"/>
                <w:numId w:val="5"/>
              </w:numPr>
              <w:jc w:val="left"/>
              <w:textAlignment w:val="center"/>
              <w:rPr>
                <w:rFonts w:ascii="仿宋" w:hAnsi="仿宋" w:eastAsia="仿宋" w:cs="仿宋"/>
                <w:kern w:val="0"/>
                <w:szCs w:val="21"/>
              </w:rPr>
            </w:pPr>
            <w:r>
              <w:rPr>
                <w:rFonts w:hint="eastAsia" w:ascii="仿宋" w:hAnsi="仿宋" w:eastAsia="仿宋" w:cs="仿宋"/>
                <w:kern w:val="0"/>
                <w:szCs w:val="21"/>
              </w:rPr>
              <w:t>发生重（特）大质量事故的，或存在弄虚作假、故意隐瞒情况的，总体考核得分为0。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75" w:hRule="atLeast"/>
          <w:jc w:val="center"/>
        </w:trPr>
        <w:tc>
          <w:tcPr>
            <w:tcW w:w="15238" w:type="dxa"/>
            <w:gridSpan w:val="6"/>
            <w:tcBorders>
              <w:tl2br w:val="nil"/>
              <w:tr2bl w:val="nil"/>
            </w:tcBorders>
            <w:vAlign w:val="center"/>
          </w:tcPr>
          <w:p>
            <w:pPr>
              <w:widowControl/>
              <w:jc w:val="left"/>
              <w:textAlignment w:val="center"/>
              <w:rPr>
                <w:rFonts w:ascii="仿宋" w:hAnsi="仿宋" w:eastAsia="仿宋" w:cs="仿宋"/>
                <w:kern w:val="0"/>
                <w:szCs w:val="21"/>
              </w:rPr>
            </w:pPr>
            <w:r>
              <w:rPr>
                <w:rFonts w:hint="eastAsia" w:ascii="仿宋" w:hAnsi="仿宋" w:eastAsia="仿宋" w:cs="仿宋"/>
                <w:kern w:val="0"/>
                <w:szCs w:val="21"/>
              </w:rPr>
              <w:t>说明：1.本表打分采用扣分制，每项要点扣分不超过该项分值，无扣分该项得满分。</w:t>
            </w:r>
            <w:r>
              <w:rPr>
                <w:rFonts w:hint="eastAsia" w:ascii="仿宋" w:hAnsi="仿宋" w:eastAsia="仿宋" w:cs="仿宋"/>
                <w:kern w:val="0"/>
                <w:szCs w:val="21"/>
              </w:rPr>
              <w:br w:type="textWrapping"/>
            </w:r>
            <w:r>
              <w:rPr>
                <w:rFonts w:hint="eastAsia" w:ascii="仿宋" w:hAnsi="仿宋" w:eastAsia="仿宋" w:cs="仿宋"/>
                <w:kern w:val="0"/>
                <w:szCs w:val="21"/>
              </w:rPr>
              <w:t xml:space="preserve">      2.水利建设质量工作考核总体考核得分占考核得分的</w:t>
            </w:r>
            <w:r>
              <w:rPr>
                <w:rFonts w:hint="eastAsia" w:ascii="仿宋" w:hAnsi="仿宋" w:eastAsia="仿宋" w:cs="仿宋"/>
                <w:kern w:val="0"/>
                <w:szCs w:val="21"/>
                <w:lang w:val="en-US" w:eastAsia="zh-CN"/>
              </w:rPr>
              <w:t>6</w:t>
            </w:r>
            <w:r>
              <w:rPr>
                <w:rFonts w:hint="eastAsia" w:ascii="仿宋" w:hAnsi="仿宋" w:eastAsia="仿宋" w:cs="仿宋"/>
                <w:kern w:val="0"/>
                <w:szCs w:val="21"/>
              </w:rPr>
              <w:t>0%。</w:t>
            </w:r>
          </w:p>
        </w:tc>
      </w:tr>
    </w:tbl>
    <w:p>
      <w:pPr>
        <w:rPr>
          <w:szCs w:val="21"/>
        </w:rPr>
      </w:pPr>
    </w:p>
    <w:sectPr>
      <w:footerReference r:id="rId3" w:type="default"/>
      <w:pgSz w:w="16838" w:h="11906" w:orient="landscape"/>
      <w:pgMar w:top="851" w:right="340" w:bottom="851" w:left="3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shape id="Quad Arrow 3073"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CF00"/>
    <w:multiLevelType w:val="singleLevel"/>
    <w:tmpl w:val="5AC4CF00"/>
    <w:lvl w:ilvl="0" w:tentative="0">
      <w:start w:val="1"/>
      <w:numFmt w:val="decimal"/>
      <w:suff w:val="nothing"/>
      <w:lvlText w:val="（%1）"/>
      <w:lvlJc w:val="left"/>
    </w:lvl>
  </w:abstractNum>
  <w:abstractNum w:abstractNumId="1">
    <w:nsid w:val="5AC4DB92"/>
    <w:multiLevelType w:val="singleLevel"/>
    <w:tmpl w:val="5AC4DB92"/>
    <w:lvl w:ilvl="0" w:tentative="0">
      <w:start w:val="1"/>
      <w:numFmt w:val="decimal"/>
      <w:suff w:val="nothing"/>
      <w:lvlText w:val="（%1）"/>
      <w:lvlJc w:val="left"/>
    </w:lvl>
  </w:abstractNum>
  <w:abstractNum w:abstractNumId="2">
    <w:nsid w:val="5AE099C7"/>
    <w:multiLevelType w:val="singleLevel"/>
    <w:tmpl w:val="5AE099C7"/>
    <w:lvl w:ilvl="0" w:tentative="0">
      <w:start w:val="1"/>
      <w:numFmt w:val="decimal"/>
      <w:suff w:val="nothing"/>
      <w:lvlText w:val="（%1）"/>
      <w:lvlJc w:val="left"/>
    </w:lvl>
  </w:abstractNum>
  <w:abstractNum w:abstractNumId="3">
    <w:nsid w:val="5AE17F04"/>
    <w:multiLevelType w:val="singleLevel"/>
    <w:tmpl w:val="5AE17F04"/>
    <w:lvl w:ilvl="0" w:tentative="0">
      <w:start w:val="1"/>
      <w:numFmt w:val="decimal"/>
      <w:suff w:val="nothing"/>
      <w:lvlText w:val="（%1）"/>
      <w:lvlJc w:val="left"/>
    </w:lvl>
  </w:abstractNum>
  <w:abstractNum w:abstractNumId="4">
    <w:nsid w:val="5AE2F12E"/>
    <w:multiLevelType w:val="singleLevel"/>
    <w:tmpl w:val="5AE2F12E"/>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revisionView w:markup="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A4787"/>
    <w:rsid w:val="00016098"/>
    <w:rsid w:val="00033359"/>
    <w:rsid w:val="00041528"/>
    <w:rsid w:val="000A74EB"/>
    <w:rsid w:val="000C61EE"/>
    <w:rsid w:val="000C74AB"/>
    <w:rsid w:val="00123FF5"/>
    <w:rsid w:val="00174159"/>
    <w:rsid w:val="0018759B"/>
    <w:rsid w:val="001A5C04"/>
    <w:rsid w:val="001C2CCF"/>
    <w:rsid w:val="001E5CA7"/>
    <w:rsid w:val="00200087"/>
    <w:rsid w:val="00217B9B"/>
    <w:rsid w:val="002551EF"/>
    <w:rsid w:val="002A32FB"/>
    <w:rsid w:val="002D7984"/>
    <w:rsid w:val="002F49E6"/>
    <w:rsid w:val="00304CC7"/>
    <w:rsid w:val="00305DC9"/>
    <w:rsid w:val="0032324F"/>
    <w:rsid w:val="00336D3B"/>
    <w:rsid w:val="00352DDA"/>
    <w:rsid w:val="003A5B2B"/>
    <w:rsid w:val="003E5E7A"/>
    <w:rsid w:val="004477E6"/>
    <w:rsid w:val="00466965"/>
    <w:rsid w:val="00471E53"/>
    <w:rsid w:val="00483640"/>
    <w:rsid w:val="00497449"/>
    <w:rsid w:val="004F777F"/>
    <w:rsid w:val="005000CB"/>
    <w:rsid w:val="00504560"/>
    <w:rsid w:val="00504F24"/>
    <w:rsid w:val="005058FA"/>
    <w:rsid w:val="00544B10"/>
    <w:rsid w:val="00591CD4"/>
    <w:rsid w:val="00604CB7"/>
    <w:rsid w:val="00616451"/>
    <w:rsid w:val="006C23CA"/>
    <w:rsid w:val="006C5061"/>
    <w:rsid w:val="006F24A4"/>
    <w:rsid w:val="006F52EB"/>
    <w:rsid w:val="00766797"/>
    <w:rsid w:val="007C47CC"/>
    <w:rsid w:val="007D4F58"/>
    <w:rsid w:val="007E79CF"/>
    <w:rsid w:val="008A0193"/>
    <w:rsid w:val="008B235E"/>
    <w:rsid w:val="008C38DC"/>
    <w:rsid w:val="008D43B4"/>
    <w:rsid w:val="00903D41"/>
    <w:rsid w:val="00923AE2"/>
    <w:rsid w:val="009C39F3"/>
    <w:rsid w:val="00A10008"/>
    <w:rsid w:val="00A171C0"/>
    <w:rsid w:val="00A81562"/>
    <w:rsid w:val="00A91267"/>
    <w:rsid w:val="00AA4787"/>
    <w:rsid w:val="00AB5EBF"/>
    <w:rsid w:val="00AD4632"/>
    <w:rsid w:val="00B56255"/>
    <w:rsid w:val="00B86270"/>
    <w:rsid w:val="00BD39E7"/>
    <w:rsid w:val="00BE3893"/>
    <w:rsid w:val="00C15AC6"/>
    <w:rsid w:val="00C33535"/>
    <w:rsid w:val="00C43913"/>
    <w:rsid w:val="00CF2998"/>
    <w:rsid w:val="00D14FBE"/>
    <w:rsid w:val="00D60E37"/>
    <w:rsid w:val="00D63F9E"/>
    <w:rsid w:val="00DB05F8"/>
    <w:rsid w:val="00DC5926"/>
    <w:rsid w:val="00DD4C3F"/>
    <w:rsid w:val="00E03D0E"/>
    <w:rsid w:val="00E104D9"/>
    <w:rsid w:val="00EA3621"/>
    <w:rsid w:val="00EB1642"/>
    <w:rsid w:val="00EC2EBC"/>
    <w:rsid w:val="00ED7CEA"/>
    <w:rsid w:val="00EE21A6"/>
    <w:rsid w:val="00EF1888"/>
    <w:rsid w:val="00F45718"/>
    <w:rsid w:val="00F97A9E"/>
    <w:rsid w:val="00FB1493"/>
    <w:rsid w:val="00FC0C2A"/>
    <w:rsid w:val="018F070E"/>
    <w:rsid w:val="01ED0433"/>
    <w:rsid w:val="021F6C72"/>
    <w:rsid w:val="02EE00B9"/>
    <w:rsid w:val="04EF240A"/>
    <w:rsid w:val="056623E8"/>
    <w:rsid w:val="056A467C"/>
    <w:rsid w:val="06CF2C9D"/>
    <w:rsid w:val="07EC308B"/>
    <w:rsid w:val="081F3A85"/>
    <w:rsid w:val="08A5502F"/>
    <w:rsid w:val="0A0E4BAB"/>
    <w:rsid w:val="0A1E540F"/>
    <w:rsid w:val="0C344C1B"/>
    <w:rsid w:val="0C616409"/>
    <w:rsid w:val="0D7B3CDF"/>
    <w:rsid w:val="0DAA3634"/>
    <w:rsid w:val="0F1B7FDC"/>
    <w:rsid w:val="0F4E652C"/>
    <w:rsid w:val="0FB6482A"/>
    <w:rsid w:val="0FDC0D59"/>
    <w:rsid w:val="10113D93"/>
    <w:rsid w:val="1076302A"/>
    <w:rsid w:val="10962394"/>
    <w:rsid w:val="11362C2D"/>
    <w:rsid w:val="11A87E22"/>
    <w:rsid w:val="1220184D"/>
    <w:rsid w:val="12A1238A"/>
    <w:rsid w:val="150E5AD6"/>
    <w:rsid w:val="159A6C6E"/>
    <w:rsid w:val="15CB0DC8"/>
    <w:rsid w:val="18594528"/>
    <w:rsid w:val="19761A0C"/>
    <w:rsid w:val="1A101FD2"/>
    <w:rsid w:val="1B423649"/>
    <w:rsid w:val="1B7D759A"/>
    <w:rsid w:val="1BF974E3"/>
    <w:rsid w:val="1DE24839"/>
    <w:rsid w:val="239911F4"/>
    <w:rsid w:val="25A70DB3"/>
    <w:rsid w:val="25AA614A"/>
    <w:rsid w:val="27DB7F64"/>
    <w:rsid w:val="286B5019"/>
    <w:rsid w:val="29DE6C47"/>
    <w:rsid w:val="2A7F1EA0"/>
    <w:rsid w:val="2BCB6E2F"/>
    <w:rsid w:val="2C1B6C75"/>
    <w:rsid w:val="2C61167D"/>
    <w:rsid w:val="2D2554EB"/>
    <w:rsid w:val="2DDD73CA"/>
    <w:rsid w:val="313431CA"/>
    <w:rsid w:val="325340C9"/>
    <w:rsid w:val="32B3362D"/>
    <w:rsid w:val="32B526AD"/>
    <w:rsid w:val="32EA19B2"/>
    <w:rsid w:val="32F37C2C"/>
    <w:rsid w:val="331C0D3B"/>
    <w:rsid w:val="34B4764A"/>
    <w:rsid w:val="36102EB4"/>
    <w:rsid w:val="363C1511"/>
    <w:rsid w:val="36820D95"/>
    <w:rsid w:val="385D4AB9"/>
    <w:rsid w:val="3A5B7A7A"/>
    <w:rsid w:val="3D07322A"/>
    <w:rsid w:val="3D1C3FAC"/>
    <w:rsid w:val="405C5DAF"/>
    <w:rsid w:val="408C791E"/>
    <w:rsid w:val="40D83629"/>
    <w:rsid w:val="414A704F"/>
    <w:rsid w:val="418D051C"/>
    <w:rsid w:val="43C51EB4"/>
    <w:rsid w:val="45C16DCF"/>
    <w:rsid w:val="467B0413"/>
    <w:rsid w:val="46C249BF"/>
    <w:rsid w:val="476A68BE"/>
    <w:rsid w:val="48B013FD"/>
    <w:rsid w:val="49B73980"/>
    <w:rsid w:val="4DB60F8B"/>
    <w:rsid w:val="4EAE4DA6"/>
    <w:rsid w:val="4F70498B"/>
    <w:rsid w:val="4F867008"/>
    <w:rsid w:val="52FC0927"/>
    <w:rsid w:val="53DC24A5"/>
    <w:rsid w:val="54712998"/>
    <w:rsid w:val="54843BB7"/>
    <w:rsid w:val="54C11B2E"/>
    <w:rsid w:val="568B5992"/>
    <w:rsid w:val="57011A06"/>
    <w:rsid w:val="57F41F9E"/>
    <w:rsid w:val="592B713C"/>
    <w:rsid w:val="5A2F6C64"/>
    <w:rsid w:val="5A38233B"/>
    <w:rsid w:val="5B3A325F"/>
    <w:rsid w:val="5CCB27CD"/>
    <w:rsid w:val="5FCE4357"/>
    <w:rsid w:val="6003783E"/>
    <w:rsid w:val="600C2EB8"/>
    <w:rsid w:val="610C5CC5"/>
    <w:rsid w:val="61CC119F"/>
    <w:rsid w:val="623861B5"/>
    <w:rsid w:val="62644FFA"/>
    <w:rsid w:val="63663B54"/>
    <w:rsid w:val="63E02F1A"/>
    <w:rsid w:val="65C52DA5"/>
    <w:rsid w:val="65DD14E3"/>
    <w:rsid w:val="67E027FB"/>
    <w:rsid w:val="6A5266CD"/>
    <w:rsid w:val="6B04503F"/>
    <w:rsid w:val="6B91730F"/>
    <w:rsid w:val="6BD713E4"/>
    <w:rsid w:val="6C9F20D5"/>
    <w:rsid w:val="6E372C59"/>
    <w:rsid w:val="6FBD6DD3"/>
    <w:rsid w:val="714E6128"/>
    <w:rsid w:val="737407F8"/>
    <w:rsid w:val="73B30A6D"/>
    <w:rsid w:val="73D55DD4"/>
    <w:rsid w:val="743278B8"/>
    <w:rsid w:val="7B1679D9"/>
    <w:rsid w:val="7B9C517F"/>
    <w:rsid w:val="7C4B374A"/>
    <w:rsid w:val="7F0945F7"/>
    <w:rsid w:val="7F5132FA"/>
    <w:rsid w:val="7FBE6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FollowedHyperlink"/>
    <w:basedOn w:val="7"/>
    <w:qFormat/>
    <w:uiPriority w:val="0"/>
    <w:rPr>
      <w:rFonts w:hint="eastAsia" w:ascii="宋体" w:hAnsi="宋体" w:eastAsia="宋体" w:cs="宋体"/>
      <w:color w:val="000000"/>
      <w:sz w:val="18"/>
      <w:szCs w:val="18"/>
      <w:u w:val="none"/>
    </w:rPr>
  </w:style>
  <w:style w:type="character" w:styleId="9">
    <w:name w:val="Hyperlink"/>
    <w:basedOn w:val="7"/>
    <w:qFormat/>
    <w:uiPriority w:val="0"/>
    <w:rPr>
      <w:rFonts w:hint="eastAsia" w:ascii="宋体" w:hAnsi="宋体" w:eastAsia="宋体" w:cs="宋体"/>
      <w:color w:val="000000"/>
      <w:sz w:val="18"/>
      <w:szCs w:val="18"/>
      <w:u w:val="none"/>
    </w:rPr>
  </w:style>
  <w:style w:type="paragraph" w:customStyle="1" w:styleId="11">
    <w:name w:val="列出段落1"/>
    <w:basedOn w:val="1"/>
    <w:unhideWhenUsed/>
    <w:qFormat/>
    <w:uiPriority w:val="99"/>
    <w:pPr>
      <w:ind w:firstLine="420" w:firstLineChars="200"/>
    </w:pPr>
  </w:style>
  <w:style w:type="character" w:customStyle="1" w:styleId="12">
    <w:name w:val="font41"/>
    <w:basedOn w:val="7"/>
    <w:qFormat/>
    <w:uiPriority w:val="0"/>
    <w:rPr>
      <w:rFonts w:hint="default" w:ascii="仿宋_GB2312" w:eastAsia="仿宋_GB2312" w:cs="仿宋_GB2312"/>
      <w:color w:val="FF0000"/>
      <w:sz w:val="24"/>
      <w:szCs w:val="24"/>
      <w:u w:val="none"/>
    </w:rPr>
  </w:style>
  <w:style w:type="character" w:customStyle="1" w:styleId="13">
    <w:name w:val="font51"/>
    <w:basedOn w:val="7"/>
    <w:qFormat/>
    <w:uiPriority w:val="0"/>
    <w:rPr>
      <w:rFonts w:hint="default" w:ascii="仿宋_GB2312" w:eastAsia="仿宋_GB2312" w:cs="仿宋_GB2312"/>
      <w:color w:val="000000"/>
      <w:sz w:val="24"/>
      <w:szCs w:val="24"/>
      <w:u w:val="none"/>
    </w:rPr>
  </w:style>
  <w:style w:type="character" w:customStyle="1" w:styleId="14">
    <w:name w:val="font81"/>
    <w:basedOn w:val="7"/>
    <w:qFormat/>
    <w:uiPriority w:val="0"/>
    <w:rPr>
      <w:rFonts w:hint="default" w:ascii="仿宋_GB2312" w:eastAsia="仿宋_GB2312" w:cs="仿宋_GB2312"/>
      <w:color w:val="000000"/>
      <w:sz w:val="24"/>
      <w:szCs w:val="24"/>
      <w:u w:val="none"/>
    </w:rPr>
  </w:style>
  <w:style w:type="character" w:customStyle="1" w:styleId="15">
    <w:name w:val="font61"/>
    <w:basedOn w:val="7"/>
    <w:qFormat/>
    <w:uiPriority w:val="0"/>
    <w:rPr>
      <w:rFonts w:hint="eastAsia" w:ascii="宋体" w:hAnsi="宋体" w:eastAsia="宋体" w:cs="宋体"/>
      <w:b/>
      <w:color w:val="000000"/>
      <w:sz w:val="16"/>
      <w:szCs w:val="16"/>
      <w:u w:val="none"/>
    </w:rPr>
  </w:style>
  <w:style w:type="character" w:customStyle="1" w:styleId="16">
    <w:name w:val="font31"/>
    <w:basedOn w:val="7"/>
    <w:qFormat/>
    <w:uiPriority w:val="0"/>
    <w:rPr>
      <w:rFonts w:hint="default" w:ascii="仿宋_GB2312" w:eastAsia="仿宋_GB2312" w:cs="仿宋_GB2312"/>
      <w:color w:val="FF0000"/>
      <w:sz w:val="24"/>
      <w:szCs w:val="24"/>
      <w:u w:val="none"/>
    </w:rPr>
  </w:style>
  <w:style w:type="character" w:customStyle="1" w:styleId="17">
    <w:name w:val="font91"/>
    <w:basedOn w:val="7"/>
    <w:qFormat/>
    <w:uiPriority w:val="0"/>
    <w:rPr>
      <w:rFonts w:hint="eastAsia" w:ascii="宋体" w:hAnsi="宋体" w:eastAsia="宋体" w:cs="宋体"/>
      <w:color w:val="000000"/>
      <w:sz w:val="20"/>
      <w:szCs w:val="20"/>
      <w:u w:val="none"/>
    </w:rPr>
  </w:style>
  <w:style w:type="character" w:customStyle="1" w:styleId="18">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737</Words>
  <Characters>4202</Characters>
  <Lines>35</Lines>
  <Paragraphs>9</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2018-04-28T06:02:00Z</dcterms:created>
  <dc:creator>Administrator</dc:creator>
  <cp:lastModifiedBy>yl</cp:lastModifiedBy>
  <cp:lastPrinted>2018-05-21T07:06:00Z</cp:lastPrinted>
  <dcterms:modified xsi:type="dcterms:W3CDTF">2018-05-25T02:45:51Z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