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412E8F">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附件2</w:t>
      </w:r>
    </w:p>
    <w:p w14:paraId="7157EE51">
      <w:pPr>
        <w:pStyle w:val="2"/>
        <w:keepNext w:val="0"/>
        <w:keepLines w:val="0"/>
        <w:pageBreakBefore w:val="0"/>
        <w:widowControl w:val="0"/>
        <w:kinsoku/>
        <w:wordWrap/>
        <w:overflowPunct/>
        <w:topLinePunct w:val="0"/>
        <w:autoSpaceDE/>
        <w:autoSpaceDN/>
        <w:bidi w:val="0"/>
        <w:adjustRightInd/>
        <w:snapToGrid/>
        <w:spacing w:line="600" w:lineRule="exact"/>
        <w:rPr>
          <w:rFonts w:hint="eastAsia"/>
        </w:rPr>
      </w:pPr>
    </w:p>
    <w:p w14:paraId="406C653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《取用水严重失信主体名单管理办法（试行）》起草说明</w:t>
      </w:r>
    </w:p>
    <w:p w14:paraId="3168C53D">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lang w:val="en-US" w:eastAsia="zh-CN"/>
        </w:rPr>
      </w:pPr>
    </w:p>
    <w:p w14:paraId="50522513">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十五五”规划《纲要》提出，“加强水、土地、矿产等资源全过程管理和全链条节约”“强化全国信用信息共享平台功能，深入推进信用信息归集共享和信用应用拓展，完善守信激励、失信惩戒和信用修复机制”。</w:t>
      </w:r>
      <w:r>
        <w:rPr>
          <w:rFonts w:hint="eastAsia" w:ascii="仿宋_GB2312" w:hAnsi="仿宋_GB2312" w:eastAsia="仿宋_GB2312" w:cs="仿宋_GB2312"/>
          <w:sz w:val="32"/>
          <w:szCs w:val="32"/>
          <w:highlight w:val="none"/>
        </w:rPr>
        <w:t>2024年，水利部、国家发展改革委联合印发的《关于实施取用水领域信用评价的指导意见》（水资管〔2024〕172号）</w:t>
      </w:r>
      <w:r>
        <w:rPr>
          <w:rFonts w:hint="eastAsia" w:ascii="仿宋_GB2312" w:hAnsi="仿宋_GB2312" w:eastAsia="仿宋_GB2312" w:cs="仿宋_GB2312"/>
          <w:sz w:val="32"/>
          <w:szCs w:val="32"/>
          <w:highlight w:val="none"/>
          <w:lang w:eastAsia="zh-CN"/>
        </w:rPr>
        <w:t>，要求制定取用水严重失信主体信用管理办法。制定取用水严重失信主体信用管理办法</w:t>
      </w:r>
      <w:r>
        <w:rPr>
          <w:rFonts w:hint="eastAsia" w:ascii="仿宋_GB2312" w:hAnsi="仿宋_GB2312" w:eastAsia="仿宋_GB2312" w:cs="仿宋_GB2312"/>
          <w:sz w:val="32"/>
          <w:szCs w:val="32"/>
          <w:highlight w:val="none"/>
          <w:lang w:val="en-US" w:eastAsia="zh-CN"/>
        </w:rPr>
        <w:t>是落实党中央、国务院关于社会信用体系建设决策部署的必然要求，是落实水资源刚性约束制度、守牢水安全底线的迫切需要，是构建取用水领域新型监管机制、提升治理效能的关键举措。</w:t>
      </w:r>
    </w:p>
    <w:p w14:paraId="5F2572E1">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i w:val="0"/>
          <w:caps w:val="0"/>
          <w:spacing w:val="0"/>
          <w:kern w:val="2"/>
          <w:sz w:val="32"/>
          <w:szCs w:val="32"/>
          <w:highlight w:val="none"/>
          <w:shd w:val="clear" w:color="auto" w:fill="auto"/>
          <w:lang w:val="en-US" w:eastAsia="zh-CN" w:bidi="ar"/>
        </w:rPr>
      </w:pPr>
      <w:r>
        <w:rPr>
          <w:rFonts w:hint="eastAsia" w:ascii="仿宋_GB2312" w:hAnsi="仿宋_GB2312" w:eastAsia="仿宋_GB2312" w:cs="仿宋_GB2312"/>
          <w:sz w:val="32"/>
          <w:szCs w:val="32"/>
          <w:highlight w:val="none"/>
          <w:lang w:val="en-US" w:eastAsia="zh-CN"/>
        </w:rPr>
        <w:t>2024年以来，</w:t>
      </w:r>
      <w:r>
        <w:rPr>
          <w:rFonts w:hint="eastAsia" w:ascii="仿宋_GB2312" w:hAnsi="仿宋_GB2312" w:eastAsia="仿宋_GB2312" w:cs="仿宋_GB2312"/>
          <w:sz w:val="32"/>
          <w:szCs w:val="32"/>
          <w:highlight w:val="none"/>
        </w:rPr>
        <w:t>水利部</w:t>
      </w:r>
      <w:r>
        <w:rPr>
          <w:rFonts w:hint="eastAsia" w:ascii="仿宋_GB2312" w:hAnsi="仿宋_GB2312" w:eastAsia="仿宋_GB2312" w:cs="仿宋_GB2312"/>
          <w:sz w:val="32"/>
          <w:szCs w:val="32"/>
          <w:highlight w:val="none"/>
          <w:lang w:eastAsia="zh-CN"/>
        </w:rPr>
        <w:t>组织</w:t>
      </w:r>
      <w:r>
        <w:rPr>
          <w:rFonts w:hint="eastAsia" w:ascii="仿宋_GB2312" w:hAnsi="仿宋_GB2312" w:eastAsia="仿宋_GB2312" w:cs="仿宋_GB2312"/>
          <w:sz w:val="32"/>
          <w:szCs w:val="32"/>
          <w:highlight w:val="none"/>
          <w:lang w:val="en-US" w:eastAsia="zh-CN"/>
        </w:rPr>
        <w:t>开展《取用水严重失信主体名单管理办法（试行）》（以下简称《办法》）</w:t>
      </w:r>
      <w:r>
        <w:rPr>
          <w:rFonts w:hint="eastAsia" w:ascii="仿宋_GB2312" w:hAnsi="仿宋_GB2312" w:eastAsia="仿宋_GB2312" w:cs="仿宋_GB2312"/>
          <w:i w:val="0"/>
          <w:caps w:val="0"/>
          <w:spacing w:val="0"/>
          <w:kern w:val="2"/>
          <w:sz w:val="32"/>
          <w:szCs w:val="32"/>
          <w:highlight w:val="none"/>
          <w:shd w:val="clear" w:color="auto" w:fill="auto"/>
          <w:lang w:val="en-US" w:eastAsia="zh-CN" w:bidi="ar"/>
        </w:rPr>
        <w:t>制定工作。2024年，水利部通过开展《取用水严重失信主体信用管理制度研究》，充分收集水利建设市场、安全生产、市场监督等领域严重失信主体名单管理的经验，起草</w:t>
      </w:r>
      <w:r>
        <w:rPr>
          <w:rFonts w:hint="eastAsia" w:ascii="仿宋_GB2312" w:hAnsi="仿宋_GB2312" w:eastAsia="仿宋_GB2312" w:cs="仿宋_GB2312"/>
          <w:sz w:val="32"/>
          <w:szCs w:val="32"/>
          <w:highlight w:val="none"/>
          <w:lang w:val="en-US" w:eastAsia="zh-CN"/>
        </w:rPr>
        <w:t>《办法》初稿</w:t>
      </w:r>
      <w:r>
        <w:rPr>
          <w:rFonts w:hint="eastAsia" w:ascii="仿宋_GB2312" w:hAnsi="仿宋_GB2312" w:eastAsia="仿宋_GB2312" w:cs="仿宋_GB2312"/>
          <w:i w:val="0"/>
          <w:caps w:val="0"/>
          <w:spacing w:val="0"/>
          <w:kern w:val="2"/>
          <w:sz w:val="32"/>
          <w:szCs w:val="32"/>
          <w:highlight w:val="none"/>
          <w:shd w:val="clear" w:color="auto" w:fill="auto"/>
          <w:lang w:val="en-US" w:eastAsia="zh-CN" w:bidi="ar"/>
        </w:rPr>
        <w:t>。2025年、2026年，水利部连续两年开展取用水领域信用评价工作，为《办法》制定提供了实践依据。2026年以来，水利部在立法调研、专题研究、专家咨询、征求意见的基础上，形成了《办法》</w:t>
      </w:r>
      <w:bookmarkStart w:id="0" w:name="_GoBack"/>
      <w:bookmarkEnd w:id="0"/>
      <w:r>
        <w:rPr>
          <w:rFonts w:hint="eastAsia" w:ascii="仿宋_GB2312" w:hAnsi="仿宋_GB2312" w:eastAsia="仿宋_GB2312" w:cs="仿宋_GB2312"/>
          <w:i w:val="0"/>
          <w:caps w:val="0"/>
          <w:spacing w:val="0"/>
          <w:kern w:val="2"/>
          <w:sz w:val="32"/>
          <w:szCs w:val="32"/>
          <w:highlight w:val="none"/>
          <w:shd w:val="clear" w:color="auto" w:fill="auto"/>
          <w:lang w:val="en-US" w:eastAsia="zh-CN" w:bidi="ar"/>
        </w:rPr>
        <w:t>征求意见稿。</w:t>
      </w:r>
    </w:p>
    <w:p w14:paraId="292FB230">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《办法》共有五章23条，主要内容如下。</w:t>
      </w:r>
    </w:p>
    <w:p w14:paraId="5B6D1A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楷体_GB2312" w:hAnsi="楷体_GB2312" w:eastAsia="楷体_GB2312" w:cs="楷体_GB2312"/>
          <w:kern w:val="2"/>
          <w:sz w:val="32"/>
          <w:szCs w:val="32"/>
          <w:lang w:val="en-US" w:eastAsia="zh-CN" w:bidi="ar"/>
        </w:rPr>
        <w:t>第一章总则，共5条，</w:t>
      </w:r>
      <w:r>
        <w:rPr>
          <w:rFonts w:hint="eastAsia" w:ascii="仿宋_GB2312" w:hAnsi="仿宋_GB2312" w:eastAsia="仿宋_GB2312" w:cs="仿宋_GB2312"/>
          <w:kern w:val="2"/>
          <w:sz w:val="32"/>
          <w:szCs w:val="32"/>
          <w:lang w:val="en-US" w:eastAsia="zh-CN" w:bidi="ar"/>
        </w:rPr>
        <w:t>明确了《办法》制定的目的和依据，阐明了取用水领域严重失信主体的概念和对象范围，提出了管理的原则，明确了水利部、流域管理机构和省级水行政主管部门的工作职责，以及信息共享、应用和保密的要求。</w:t>
      </w:r>
    </w:p>
    <w:p w14:paraId="2BF539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楷体_GB2312" w:hAnsi="楷体_GB2312" w:eastAsia="楷体_GB2312" w:cs="楷体_GB2312"/>
          <w:kern w:val="2"/>
          <w:sz w:val="32"/>
          <w:szCs w:val="32"/>
          <w:lang w:val="en-US" w:eastAsia="zh-CN" w:bidi="ar"/>
        </w:rPr>
        <w:t>第二章主体认定及名单列入，共8条，</w:t>
      </w:r>
      <w:r>
        <w:rPr>
          <w:rFonts w:hint="eastAsia" w:ascii="仿宋_GB2312" w:hAnsi="仿宋_GB2312" w:eastAsia="仿宋_GB2312" w:cs="仿宋_GB2312"/>
          <w:kern w:val="2"/>
          <w:sz w:val="32"/>
          <w:szCs w:val="32"/>
          <w:lang w:val="en-US" w:eastAsia="zh-CN" w:bidi="ar"/>
        </w:rPr>
        <w:t>提出了取用水严重失信主体认定标准的七种情形，明确了严重失信行为的认定依据，确定了严重失信主体的认定单位为流域管理机构和县级以上地方人民政府水行政主管部门，规范了名单列入涉及的告知、异议申诉、认定和公示等程序。统一名单的公示期为3年，规定了公示期重新计算的情形和方式，明确了因认定依据或标准发生变化，名单重新审核认定的情形。</w:t>
      </w:r>
    </w:p>
    <w:p w14:paraId="1A7546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楷体_GB2312" w:hAnsi="楷体_GB2312" w:eastAsia="楷体_GB2312" w:cs="楷体_GB2312"/>
          <w:kern w:val="2"/>
          <w:sz w:val="32"/>
          <w:szCs w:val="32"/>
          <w:lang w:val="en-US" w:eastAsia="zh-CN" w:bidi="ar"/>
        </w:rPr>
        <w:t>第三章惩戒措施，共1条，</w:t>
      </w:r>
      <w:r>
        <w:rPr>
          <w:rFonts w:hint="eastAsia" w:ascii="仿宋_GB2312" w:hAnsi="仿宋_GB2312" w:eastAsia="仿宋_GB2312" w:cs="仿宋_GB2312"/>
          <w:kern w:val="2"/>
          <w:sz w:val="32"/>
          <w:szCs w:val="32"/>
          <w:lang w:val="en-US" w:eastAsia="zh-CN" w:bidi="ar"/>
        </w:rPr>
        <w:t>提出了对取用水严重失信主体的惩戒措施，包括不得新增取水许可或转让取水权等六类措施。</w:t>
      </w:r>
    </w:p>
    <w:p w14:paraId="7C20BD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楷体_GB2312" w:hAnsi="楷体_GB2312" w:eastAsia="楷体_GB2312" w:cs="楷体_GB2312"/>
          <w:kern w:val="2"/>
          <w:sz w:val="32"/>
          <w:szCs w:val="32"/>
          <w:lang w:val="en-US" w:eastAsia="zh-CN" w:bidi="ar"/>
        </w:rPr>
        <w:t>第四章信用修复与名单退出，共6条，</w:t>
      </w:r>
      <w:r>
        <w:rPr>
          <w:rFonts w:hint="eastAsia" w:ascii="仿宋_GB2312" w:hAnsi="仿宋_GB2312" w:eastAsia="仿宋_GB2312" w:cs="仿宋_GB2312"/>
          <w:kern w:val="2"/>
          <w:sz w:val="32"/>
          <w:szCs w:val="32"/>
          <w:lang w:val="en-US" w:eastAsia="zh-CN" w:bidi="ar"/>
        </w:rPr>
        <w:t>明确了取用水严重失信主体信用修复条件，明晰了通过“信用中国”网站申请信用修复的渠道和所需资料，明确了信用修复程序，以及提供虚假资料等行为恢复列入名单公示期的计算方式。</w:t>
      </w:r>
    </w:p>
    <w:p w14:paraId="27EAE7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kern w:val="2"/>
          <w:sz w:val="32"/>
          <w:szCs w:val="32"/>
          <w:lang w:val="en-US" w:eastAsia="zh-CN" w:bidi="ar"/>
        </w:rPr>
        <w:t>第五章附则，共3条，</w:t>
      </w:r>
      <w:r>
        <w:rPr>
          <w:rFonts w:hint="eastAsia" w:ascii="仿宋_GB2312" w:hAnsi="仿宋_GB2312" w:eastAsia="仿宋_GB2312" w:cs="仿宋_GB2312"/>
          <w:kern w:val="2"/>
          <w:sz w:val="32"/>
          <w:szCs w:val="32"/>
          <w:lang w:val="en-US" w:eastAsia="zh-CN" w:bidi="ar"/>
        </w:rPr>
        <w:t>提出了法律法规另有规定的要求，明确了相关文书格式规定以及发布机关。</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C960F">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78482A">
                          <w:pPr>
                            <w:pStyle w:val="4"/>
                            <w:rPr>
                              <w:rFonts w:hint="eastAsia" w:ascii="仿宋_GB2312" w:hAnsi="仿宋_GB2312" w:eastAsia="仿宋_GB2312" w:cs="仿宋_GB2312"/>
                              <w:sz w:val="21"/>
                              <w:szCs w:val="32"/>
                            </w:rPr>
                          </w:pPr>
                          <w:r>
                            <w:rPr>
                              <w:rFonts w:hint="eastAsia" w:ascii="仿宋_GB2312" w:hAnsi="仿宋_GB2312" w:eastAsia="仿宋_GB2312" w:cs="仿宋_GB2312"/>
                              <w:sz w:val="21"/>
                              <w:szCs w:val="32"/>
                            </w:rPr>
                            <w:fldChar w:fldCharType="begin"/>
                          </w:r>
                          <w:r>
                            <w:rPr>
                              <w:rFonts w:hint="eastAsia" w:ascii="仿宋_GB2312" w:hAnsi="仿宋_GB2312" w:eastAsia="仿宋_GB2312" w:cs="仿宋_GB2312"/>
                              <w:sz w:val="21"/>
                              <w:szCs w:val="32"/>
                            </w:rPr>
                            <w:instrText xml:space="preserve"> PAGE  \* MERGEFORMAT </w:instrText>
                          </w:r>
                          <w:r>
                            <w:rPr>
                              <w:rFonts w:hint="eastAsia" w:ascii="仿宋_GB2312" w:hAnsi="仿宋_GB2312" w:eastAsia="仿宋_GB2312" w:cs="仿宋_GB2312"/>
                              <w:sz w:val="21"/>
                              <w:szCs w:val="32"/>
                            </w:rPr>
                            <w:fldChar w:fldCharType="separate"/>
                          </w:r>
                          <w:r>
                            <w:rPr>
                              <w:rFonts w:hint="eastAsia" w:ascii="仿宋_GB2312" w:hAnsi="仿宋_GB2312" w:eastAsia="仿宋_GB2312" w:cs="仿宋_GB2312"/>
                              <w:sz w:val="21"/>
                              <w:szCs w:val="32"/>
                            </w:rPr>
                            <w:t>7</w:t>
                          </w:r>
                          <w:r>
                            <w:rPr>
                              <w:rFonts w:hint="eastAsia" w:ascii="仿宋_GB2312" w:hAnsi="仿宋_GB2312" w:eastAsia="仿宋_GB2312" w:cs="仿宋_GB2312"/>
                              <w:sz w:val="21"/>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078482A">
                    <w:pPr>
                      <w:pStyle w:val="4"/>
                      <w:rPr>
                        <w:rFonts w:hint="eastAsia" w:ascii="仿宋_GB2312" w:hAnsi="仿宋_GB2312" w:eastAsia="仿宋_GB2312" w:cs="仿宋_GB2312"/>
                        <w:sz w:val="21"/>
                        <w:szCs w:val="32"/>
                      </w:rPr>
                    </w:pPr>
                    <w:r>
                      <w:rPr>
                        <w:rFonts w:hint="eastAsia" w:ascii="仿宋_GB2312" w:hAnsi="仿宋_GB2312" w:eastAsia="仿宋_GB2312" w:cs="仿宋_GB2312"/>
                        <w:sz w:val="21"/>
                        <w:szCs w:val="32"/>
                      </w:rPr>
                      <w:fldChar w:fldCharType="begin"/>
                    </w:r>
                    <w:r>
                      <w:rPr>
                        <w:rFonts w:hint="eastAsia" w:ascii="仿宋_GB2312" w:hAnsi="仿宋_GB2312" w:eastAsia="仿宋_GB2312" w:cs="仿宋_GB2312"/>
                        <w:sz w:val="21"/>
                        <w:szCs w:val="32"/>
                      </w:rPr>
                      <w:instrText xml:space="preserve"> PAGE  \* MERGEFORMAT </w:instrText>
                    </w:r>
                    <w:r>
                      <w:rPr>
                        <w:rFonts w:hint="eastAsia" w:ascii="仿宋_GB2312" w:hAnsi="仿宋_GB2312" w:eastAsia="仿宋_GB2312" w:cs="仿宋_GB2312"/>
                        <w:sz w:val="21"/>
                        <w:szCs w:val="32"/>
                      </w:rPr>
                      <w:fldChar w:fldCharType="separate"/>
                    </w:r>
                    <w:r>
                      <w:rPr>
                        <w:rFonts w:hint="eastAsia" w:ascii="仿宋_GB2312" w:hAnsi="仿宋_GB2312" w:eastAsia="仿宋_GB2312" w:cs="仿宋_GB2312"/>
                        <w:sz w:val="21"/>
                        <w:szCs w:val="32"/>
                      </w:rPr>
                      <w:t>7</w:t>
                    </w:r>
                    <w:r>
                      <w:rPr>
                        <w:rFonts w:hint="eastAsia" w:ascii="仿宋_GB2312" w:hAnsi="仿宋_GB2312" w:eastAsia="仿宋_GB2312" w:cs="仿宋_GB2312"/>
                        <w:sz w:val="21"/>
                        <w:szCs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270D4A"/>
    <w:rsid w:val="00ED5986"/>
    <w:rsid w:val="04DA2804"/>
    <w:rsid w:val="06003519"/>
    <w:rsid w:val="07650977"/>
    <w:rsid w:val="09755D2D"/>
    <w:rsid w:val="147026FF"/>
    <w:rsid w:val="152157D4"/>
    <w:rsid w:val="160E7D98"/>
    <w:rsid w:val="16AE7FC9"/>
    <w:rsid w:val="173F2008"/>
    <w:rsid w:val="187123B8"/>
    <w:rsid w:val="19031D93"/>
    <w:rsid w:val="19D60218"/>
    <w:rsid w:val="1B8960C9"/>
    <w:rsid w:val="1C5C184C"/>
    <w:rsid w:val="1CFD5083"/>
    <w:rsid w:val="1FD810E3"/>
    <w:rsid w:val="2772048B"/>
    <w:rsid w:val="2A2D63B5"/>
    <w:rsid w:val="2EDC7BE4"/>
    <w:rsid w:val="2EE61AE3"/>
    <w:rsid w:val="32230959"/>
    <w:rsid w:val="38887767"/>
    <w:rsid w:val="3935C387"/>
    <w:rsid w:val="39B4200D"/>
    <w:rsid w:val="39FBDADB"/>
    <w:rsid w:val="3C726DEC"/>
    <w:rsid w:val="3C862C4F"/>
    <w:rsid w:val="3DCEEB1C"/>
    <w:rsid w:val="3DFE01D0"/>
    <w:rsid w:val="3F163357"/>
    <w:rsid w:val="3F395C5F"/>
    <w:rsid w:val="3F9B5BB3"/>
    <w:rsid w:val="3FF7A836"/>
    <w:rsid w:val="3FFF2E56"/>
    <w:rsid w:val="41C95079"/>
    <w:rsid w:val="4471621A"/>
    <w:rsid w:val="46F4176E"/>
    <w:rsid w:val="4A235542"/>
    <w:rsid w:val="4AF869CF"/>
    <w:rsid w:val="4D546086"/>
    <w:rsid w:val="4EE90BCC"/>
    <w:rsid w:val="4FDFA3D4"/>
    <w:rsid w:val="529C2D58"/>
    <w:rsid w:val="547E621D"/>
    <w:rsid w:val="5A0B138D"/>
    <w:rsid w:val="5BBFE4F3"/>
    <w:rsid w:val="5D7F5827"/>
    <w:rsid w:val="5E7FFEAE"/>
    <w:rsid w:val="5FF981DF"/>
    <w:rsid w:val="630D7CD1"/>
    <w:rsid w:val="63575B3E"/>
    <w:rsid w:val="63AC4F95"/>
    <w:rsid w:val="66784CFC"/>
    <w:rsid w:val="682406A6"/>
    <w:rsid w:val="68270D4A"/>
    <w:rsid w:val="698B4B02"/>
    <w:rsid w:val="6A9D12F4"/>
    <w:rsid w:val="6E3D1497"/>
    <w:rsid w:val="6E423448"/>
    <w:rsid w:val="6FDB5477"/>
    <w:rsid w:val="70E717C8"/>
    <w:rsid w:val="710D26B3"/>
    <w:rsid w:val="71FF35A5"/>
    <w:rsid w:val="73BE4993"/>
    <w:rsid w:val="73FFF3A8"/>
    <w:rsid w:val="774D4F0A"/>
    <w:rsid w:val="77EDD2C5"/>
    <w:rsid w:val="77EFB360"/>
    <w:rsid w:val="780C102C"/>
    <w:rsid w:val="792C76C0"/>
    <w:rsid w:val="79E6748B"/>
    <w:rsid w:val="7BFEB4DB"/>
    <w:rsid w:val="7CC52577"/>
    <w:rsid w:val="7D5F7F5B"/>
    <w:rsid w:val="7D676247"/>
    <w:rsid w:val="7F601E71"/>
    <w:rsid w:val="7FA734C4"/>
    <w:rsid w:val="8F3FA02A"/>
    <w:rsid w:val="ABFF8EA6"/>
    <w:rsid w:val="BFBE2A66"/>
    <w:rsid w:val="BFCEFD69"/>
    <w:rsid w:val="BFFA3BBF"/>
    <w:rsid w:val="D3FBECD8"/>
    <w:rsid w:val="DF13A395"/>
    <w:rsid w:val="DFFB0988"/>
    <w:rsid w:val="E16135B6"/>
    <w:rsid w:val="F4D7341B"/>
    <w:rsid w:val="F7DBFC93"/>
    <w:rsid w:val="F9BFB2B2"/>
    <w:rsid w:val="FA3E0FE0"/>
    <w:rsid w:val="FAFB06F4"/>
    <w:rsid w:val="FCE9768F"/>
    <w:rsid w:val="FDBBED3E"/>
    <w:rsid w:val="FEFB8638"/>
    <w:rsid w:val="FFD1B034"/>
    <w:rsid w:val="FFF94B27"/>
    <w:rsid w:val="FFFFA0E2"/>
    <w:rsid w:val="FFFFEE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semiHidden/>
    <w:qFormat/>
    <w:uiPriority w:val="0"/>
    <w:rPr>
      <w:rFonts w:ascii="仿宋" w:hAnsi="仿宋" w:eastAsia="仿宋" w:cs="仿宋"/>
      <w:sz w:val="31"/>
      <w:szCs w:val="3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link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paragraph" w:customStyle="1" w:styleId="10">
    <w:name w:val="样式 样式 首行缩进:  0.37 厘米 + 首行缩进:  2 字符"/>
    <w:basedOn w:val="1"/>
    <w:qFormat/>
    <w:uiPriority w:val="0"/>
    <w:pPr>
      <w:spacing w:line="560" w:lineRule="exact"/>
      <w:ind w:firstLine="200" w:firstLineChars="200"/>
    </w:pPr>
    <w:rPr>
      <w:rFonts w:ascii="仿宋_GB2312" w:eastAsia="仿宋_GB2312" w:cs="宋体"/>
      <w:sz w:val="28"/>
      <w:szCs w:val="20"/>
    </w:rPr>
  </w:style>
  <w:style w:type="paragraph" w:customStyle="1" w:styleId="11">
    <w:name w:val="正文-邓"/>
    <w:basedOn w:val="1"/>
    <w:qFormat/>
    <w:uiPriority w:val="0"/>
    <w:pPr>
      <w:spacing w:line="640" w:lineRule="exact"/>
      <w:ind w:firstLine="200" w:firstLineChars="200"/>
    </w:pPr>
    <w:rPr>
      <w:rFonts w:ascii="Times New Roman" w:hAnsi="Times New Roman" w:eastAsia="仿宋_GB2312" w:cs="Times New Roman"/>
      <w:kern w:val="0"/>
      <w:sz w:val="32"/>
      <w:szCs w:val="28"/>
      <w:lang w:val="zh-CN"/>
    </w:rPr>
  </w:style>
  <w:style w:type="paragraph" w:customStyle="1" w:styleId="12">
    <w:name w:val="01sl水信息平台正文"/>
    <w:basedOn w:val="1"/>
    <w:unhideWhenUsed/>
    <w:qFormat/>
    <w:uiPriority w:val="0"/>
    <w:pPr>
      <w:spacing w:beforeLines="50" w:afterLines="50"/>
      <w:ind w:firstLine="480"/>
    </w:pPr>
    <w:rPr>
      <w:rFonts w:hint="eastAsia"/>
      <w:sz w:val="22"/>
      <w:szCs w:val="24"/>
    </w:rPr>
  </w:style>
  <w:style w:type="paragraph" w:customStyle="1" w:styleId="13">
    <w:name w:val="Body Text Indent 21"/>
    <w:qFormat/>
    <w:uiPriority w:val="0"/>
    <w:pPr>
      <w:widowControl w:val="0"/>
      <w:spacing w:line="480" w:lineRule="auto"/>
      <w:ind w:left="420" w:leftChars="200"/>
      <w:jc w:val="both"/>
    </w:pPr>
    <w:rPr>
      <w:rFonts w:ascii="Times New Roman" w:hAnsi="Times New Roman" w:eastAsia="宋体" w:cs="Times New Roman"/>
      <w:kern w:val="2"/>
      <w:sz w:val="21"/>
      <w:szCs w:val="24"/>
      <w:lang w:val="en-US" w:eastAsia="zh-CN" w:bidi="ar-SA"/>
    </w:rPr>
  </w:style>
  <w:style w:type="character" w:customStyle="1" w:styleId="14">
    <w:name w:val="页眉 字符"/>
    <w:basedOn w:val="8"/>
    <w:link w:val="5"/>
    <w:qFormat/>
    <w:uiPriority w:val="0"/>
    <w:rPr>
      <w:rFonts w:hint="default" w:ascii="Calibri" w:hAnsi="Calibri" w:cs="Calibr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eb53baab-a0b5-464e-8e66-6e338dc3a54d</errorID>
      <errorWord xmlns="http://schemas.wps.cn/vas-ai-hub/contract-review">统一名单的公示期为3年</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统一名单的公示期</item>
      </candidateList>
      <explain xmlns="http://schemas.wps.cn/vas-ai-hub/contract-review">数字一致性错误，此处将失信主体名单的公示有效期限错误标注为3年，全文仅此处提及该数字，后续信用修复、重新列入的相关条款未确认名单公示总时长为3年，前后关于公示期时长的表述不一致</explain>
      <paraID xmlns="http://schemas.wps.cn/vas-ai-hub/contract-review">2BF539DA</paraID>
      <start xmlns="http://schemas.wps.cn/vas-ai-hub/contract-review">121</start>
      <end xmlns="http://schemas.wps.cn/vas-ai-hub/contract-review">132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479f2e7f-5642-469c-8e04-c30d2bb0d1d7</errorID>
      <errorWord xmlns="http://schemas.wps.cn/vas-ai-hub/contract-review">要求</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处理要求</item>
      </candidateList>
      <explain xmlns="http://schemas.wps.cn/vas-ai-hub/contract-review"/>
      <paraID xmlns="http://schemas.wps.cn/vas-ai-hub/contract-review">27EAE767</paraID>
      <start xmlns="http://schemas.wps.cn/vas-ai-hub/contract-review">22</start>
      <end xmlns="http://schemas.wps.cn/vas-ai-hub/contract-review">24</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a08f5c-55bc-4f56-a689-144cd6b9d3d7}">
  <ds:schemaRefs/>
</ds:datastoreItem>
</file>

<file path=docProps/app.xml><?xml version="1.0" encoding="utf-8"?>
<Properties xmlns="http://schemas.openxmlformats.org/officeDocument/2006/extended-properties" xmlns:vt="http://schemas.openxmlformats.org/officeDocument/2006/docPropsVTypes">
  <Template>Normal.dotm</Template>
  <Pages>2</Pages>
  <Words>2547</Words>
  <Characters>2582</Characters>
  <Lines>0</Lines>
  <Paragraphs>0</Paragraphs>
  <TotalTime>2</TotalTime>
  <ScaleCrop>false</ScaleCrop>
  <LinksUpToDate>false</LinksUpToDate>
  <CharactersWithSpaces>2582</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2026-05-04T17:42:00Z</dcterms:created>
  <dc:creator>刘心爱</dc:creator>
  <cp:lastModifiedBy>qysglc</cp:lastModifiedBy>
  <cp:lastPrinted>2026-09-04T02:04:00Z</cp:lastPrinted>
  <dcterms:modified xsi:type="dcterms:W3CDTF">2026-09-09T08:30:01Z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eyJoZGlkIjoiZDIyMDJkNzllM2ZmOThkOTY5YjYzZTJjMGVhZDNiMDEiLCJ1c2VySWQiOiIyNTE0NTkzMzYifQ==</vt:lpwstr>
  </property>
  <property fmtid="{D5CDD505-2E9C-101B-9397-08002B2CF9AE}" pid="4" name="ICV">
    <vt:lpwstr>63508B7E4BF04858976ECE2A314F7C28_12</vt:lpwstr>
  </property>
</Properties>
</file>