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rPr>
          <w:rFonts w:hint="default" w:ascii="黑体" w:hAnsi="黑体" w:eastAsia="黑体" w:cs="黑体"/>
          <w:sz w:val="32"/>
          <w:szCs w:val="32"/>
          <w:lang w:val="en-US" w:eastAsia="zh-CN"/>
        </w:rPr>
      </w:pPr>
      <w:bookmarkStart w:id="69" w:name="_GoBack"/>
      <w:bookmarkEnd w:id="69"/>
      <w:r>
        <w:rPr>
          <w:rFonts w:hint="eastAsia" w:ascii="黑体" w:hAnsi="黑体" w:eastAsia="黑体" w:cs="黑体"/>
          <w:sz w:val="32"/>
          <w:szCs w:val="32"/>
        </w:rPr>
        <w:t>附件</w:t>
      </w:r>
      <w:r>
        <w:rPr>
          <w:rFonts w:hint="eastAsia" w:ascii="黑体" w:hAnsi="黑体" w:eastAsia="黑体" w:cs="黑体"/>
          <w:sz w:val="32"/>
          <w:szCs w:val="32"/>
          <w:lang w:val="en-US" w:eastAsia="zh-CN"/>
        </w:rPr>
        <w:t>1</w:t>
      </w:r>
    </w:p>
    <w:p>
      <w:pPr>
        <w:spacing w:line="600" w:lineRule="exact"/>
        <w:rPr>
          <w:rFonts w:ascii="黑体" w:hAnsi="黑体" w:eastAsia="黑体" w:cs="黑体"/>
          <w:sz w:val="32"/>
          <w:szCs w:val="32"/>
        </w:rPr>
      </w:pPr>
    </w:p>
    <w:p>
      <w:pPr>
        <w:pStyle w:val="12"/>
        <w:spacing w:after="0"/>
        <w:jc w:val="center"/>
        <w:rPr>
          <w:rFonts w:ascii="方正小标宋简体" w:hAnsi="方正小标宋简体" w:eastAsia="方正小标宋简体" w:cs="方正小标宋简体"/>
          <w:sz w:val="44"/>
          <w:szCs w:val="44"/>
        </w:rPr>
      </w:pPr>
      <w:r>
        <w:rPr>
          <w:rFonts w:ascii="方正小标宋简体" w:hAnsi="方正小标宋简体" w:eastAsia="方正小标宋简体" w:cs="方正小标宋简体"/>
          <w:sz w:val="44"/>
          <w:szCs w:val="44"/>
        </w:rPr>
        <w:t>取用水严重失信主体</w:t>
      </w:r>
      <w:r>
        <w:rPr>
          <w:rFonts w:hint="eastAsia" w:ascii="方正小标宋简体" w:hAnsi="方正小标宋简体" w:eastAsia="方正小标宋简体" w:cs="方正小标宋简体"/>
          <w:sz w:val="44"/>
          <w:szCs w:val="44"/>
        </w:rPr>
        <w:t>名单</w:t>
      </w:r>
      <w:r>
        <w:rPr>
          <w:rFonts w:ascii="方正小标宋简体" w:hAnsi="方正小标宋简体" w:eastAsia="方正小标宋简体" w:cs="方正小标宋简体"/>
          <w:sz w:val="44"/>
          <w:szCs w:val="44"/>
        </w:rPr>
        <w:t>管理办法</w:t>
      </w:r>
      <w:r>
        <w:rPr>
          <w:rFonts w:hint="eastAsia" w:ascii="方正小标宋简体" w:hAnsi="方正小标宋简体" w:eastAsia="方正小标宋简体" w:cs="方正小标宋简体"/>
          <w:sz w:val="44"/>
          <w:szCs w:val="44"/>
        </w:rPr>
        <w:t>（试行）</w:t>
      </w:r>
    </w:p>
    <w:p>
      <w:pPr>
        <w:pStyle w:val="12"/>
        <w:spacing w:after="0"/>
        <w:jc w:val="center"/>
        <w:rPr>
          <w:rFonts w:ascii="楷体_GB2312" w:hAnsi="楷体_GB2312" w:eastAsia="楷体_GB2312" w:cs="楷体_GB2312"/>
          <w:sz w:val="32"/>
          <w:szCs w:val="32"/>
        </w:rPr>
      </w:pPr>
      <w:r>
        <w:rPr>
          <w:rFonts w:hint="eastAsia" w:ascii="楷体_GB2312" w:hAnsi="楷体_GB2312" w:eastAsia="楷体_GB2312" w:cs="楷体_GB2312"/>
          <w:sz w:val="32"/>
          <w:szCs w:val="32"/>
        </w:rPr>
        <w:t>（征求意见稿）</w:t>
      </w:r>
    </w:p>
    <w:p>
      <w:pPr>
        <w:keepNext/>
        <w:keepLines/>
        <w:numPr>
          <w:ilvl w:val="255"/>
          <w:numId w:val="0"/>
        </w:numPr>
        <w:adjustRightInd w:val="0"/>
        <w:snapToGrid w:val="0"/>
        <w:spacing w:line="600" w:lineRule="exact"/>
        <w:jc w:val="center"/>
        <w:outlineLvl w:val="0"/>
        <w:rPr>
          <w:rFonts w:ascii="黑体" w:hAnsi="黑体" w:eastAsia="黑体" w:cs="黑体"/>
          <w:bCs/>
          <w:kern w:val="44"/>
          <w:sz w:val="32"/>
          <w:szCs w:val="32"/>
        </w:rPr>
      </w:pPr>
      <w:bookmarkStart w:id="0" w:name="_Toc2145313601"/>
      <w:bookmarkStart w:id="1" w:name="_Toc182295459"/>
      <w:bookmarkStart w:id="2" w:name="_Toc1051528958"/>
    </w:p>
    <w:p>
      <w:pPr>
        <w:keepNext/>
        <w:keepLines/>
        <w:numPr>
          <w:ilvl w:val="255"/>
          <w:numId w:val="0"/>
        </w:numPr>
        <w:adjustRightInd w:val="0"/>
        <w:snapToGrid w:val="0"/>
        <w:spacing w:line="600" w:lineRule="exact"/>
        <w:jc w:val="center"/>
        <w:outlineLvl w:val="0"/>
      </w:pPr>
      <w:r>
        <w:rPr>
          <w:rFonts w:ascii="黑体" w:hAnsi="黑体" w:eastAsia="黑体" w:cs="黑体"/>
          <w:bCs/>
          <w:kern w:val="44"/>
          <w:sz w:val="32"/>
          <w:szCs w:val="32"/>
        </w:rPr>
        <w:t>第一章  总则</w:t>
      </w:r>
      <w:bookmarkEnd w:id="0"/>
      <w:bookmarkEnd w:id="1"/>
      <w:bookmarkEnd w:id="2"/>
    </w:p>
    <w:p>
      <w:pPr>
        <w:snapToGrid w:val="0"/>
        <w:spacing w:after="0" w:line="600" w:lineRule="exact"/>
        <w:ind w:firstLine="662" w:firstLineChars="200"/>
        <w:outlineLvl w:val="1"/>
        <w:rPr>
          <w:sz w:val="32"/>
          <w:szCs w:val="32"/>
        </w:rPr>
      </w:pPr>
      <w:bookmarkStart w:id="3" w:name="_Toc738177157"/>
      <w:bookmarkStart w:id="4" w:name="_Toc1565227679"/>
      <w:bookmarkStart w:id="5" w:name="_Toc182295460"/>
      <w:r>
        <w:rPr>
          <w:rFonts w:hint="eastAsia"/>
          <w:b/>
          <w:bCs/>
          <w:sz w:val="32"/>
          <w:szCs w:val="32"/>
        </w:rPr>
        <w:t>第一条</w:t>
      </w:r>
      <w:r>
        <w:rPr>
          <w:b/>
          <w:bCs/>
          <w:sz w:val="32"/>
          <w:szCs w:val="32"/>
        </w:rPr>
        <w:t>（</w:t>
      </w:r>
      <w:r>
        <w:rPr>
          <w:rFonts w:hint="eastAsia"/>
          <w:b/>
          <w:bCs/>
          <w:sz w:val="32"/>
          <w:szCs w:val="32"/>
        </w:rPr>
        <w:t>目的依据</w:t>
      </w:r>
      <w:r>
        <w:rPr>
          <w:b/>
          <w:bCs/>
          <w:sz w:val="32"/>
          <w:szCs w:val="32"/>
        </w:rPr>
        <w:t>）</w:t>
      </w:r>
      <w:bookmarkEnd w:id="3"/>
      <w:bookmarkEnd w:id="4"/>
      <w:bookmarkEnd w:id="5"/>
      <w:r>
        <w:rPr>
          <w:rFonts w:hint="eastAsia"/>
          <w:sz w:val="32"/>
          <w:szCs w:val="32"/>
        </w:rPr>
        <w:t>为</w:t>
      </w:r>
      <w:r>
        <w:rPr>
          <w:sz w:val="32"/>
          <w:szCs w:val="32"/>
        </w:rPr>
        <w:t>推</w:t>
      </w:r>
      <w:r>
        <w:rPr>
          <w:rFonts w:hint="eastAsia"/>
          <w:sz w:val="32"/>
          <w:szCs w:val="32"/>
        </w:rPr>
        <w:t>进</w:t>
      </w:r>
      <w:r>
        <w:rPr>
          <w:sz w:val="32"/>
          <w:szCs w:val="32"/>
        </w:rPr>
        <w:t>取用水领域信用体系建设，</w:t>
      </w:r>
      <w:r>
        <w:rPr>
          <w:rFonts w:hint="eastAsia"/>
          <w:sz w:val="32"/>
          <w:szCs w:val="32"/>
        </w:rPr>
        <w:t>建立取用水严重失信主体名单制度，促进取用水户依法依规取用水资源</w:t>
      </w:r>
      <w:r>
        <w:rPr>
          <w:sz w:val="32"/>
          <w:szCs w:val="32"/>
        </w:rPr>
        <w:t>，根据</w:t>
      </w:r>
      <w:r>
        <w:rPr>
          <w:rFonts w:hint="eastAsia"/>
          <w:sz w:val="32"/>
          <w:szCs w:val="32"/>
        </w:rPr>
        <w:t>《中华人民共和国水法》《取水许可和水资源费征收管理条例》等法律法规和党中央、</w:t>
      </w:r>
      <w:r>
        <w:rPr>
          <w:sz w:val="32"/>
          <w:szCs w:val="32"/>
        </w:rPr>
        <w:t>国务院关于构建诚信建设长效机制</w:t>
      </w:r>
      <w:r>
        <w:rPr>
          <w:rFonts w:hint="eastAsia"/>
          <w:sz w:val="32"/>
          <w:szCs w:val="32"/>
        </w:rPr>
        <w:t>、实行</w:t>
      </w:r>
      <w:r>
        <w:rPr>
          <w:sz w:val="32"/>
          <w:szCs w:val="32"/>
        </w:rPr>
        <w:t>水资源刚性约束制度</w:t>
      </w:r>
      <w:r>
        <w:rPr>
          <w:rFonts w:hint="eastAsia"/>
          <w:sz w:val="32"/>
          <w:szCs w:val="32"/>
        </w:rPr>
        <w:t>等有关要求，制定本办法。</w:t>
      </w:r>
    </w:p>
    <w:p>
      <w:pPr>
        <w:numPr>
          <w:ilvl w:val="255"/>
          <w:numId w:val="0"/>
        </w:numPr>
        <w:snapToGrid w:val="0"/>
        <w:spacing w:after="0" w:line="600" w:lineRule="exact"/>
        <w:ind w:firstLine="662" w:firstLineChars="200"/>
        <w:outlineLvl w:val="1"/>
        <w:rPr>
          <w:sz w:val="32"/>
          <w:szCs w:val="32"/>
        </w:rPr>
      </w:pPr>
      <w:bookmarkStart w:id="6" w:name="_Toc182295461"/>
      <w:bookmarkStart w:id="7" w:name="_Toc1347613570"/>
      <w:bookmarkStart w:id="8" w:name="_Toc132296673"/>
      <w:r>
        <w:rPr>
          <w:b/>
          <w:bCs/>
          <w:sz w:val="32"/>
          <w:szCs w:val="32"/>
        </w:rPr>
        <w:t>第二条（</w:t>
      </w:r>
      <w:r>
        <w:rPr>
          <w:rFonts w:hint="eastAsia"/>
          <w:b/>
          <w:bCs/>
          <w:sz w:val="32"/>
          <w:szCs w:val="32"/>
        </w:rPr>
        <w:t>适用范围</w:t>
      </w:r>
      <w:r>
        <w:rPr>
          <w:b/>
          <w:bCs/>
          <w:sz w:val="32"/>
          <w:szCs w:val="32"/>
        </w:rPr>
        <w:t>）</w:t>
      </w:r>
      <w:bookmarkEnd w:id="6"/>
      <w:bookmarkEnd w:id="7"/>
      <w:bookmarkEnd w:id="8"/>
      <w:r>
        <w:rPr>
          <w:rFonts w:hint="eastAsia"/>
          <w:sz w:val="32"/>
          <w:szCs w:val="32"/>
        </w:rPr>
        <w:t>本办法适用于依法依规开展取用水</w:t>
      </w:r>
      <w:r>
        <w:rPr>
          <w:sz w:val="32"/>
          <w:szCs w:val="32"/>
        </w:rPr>
        <w:t>严重失信主体</w:t>
      </w:r>
      <w:r>
        <w:rPr>
          <w:rFonts w:hint="eastAsia"/>
          <w:sz w:val="32"/>
          <w:szCs w:val="32"/>
        </w:rPr>
        <w:t>的认定及</w:t>
      </w:r>
      <w:r>
        <w:rPr>
          <w:sz w:val="32"/>
          <w:szCs w:val="32"/>
        </w:rPr>
        <w:t>名单列入、</w:t>
      </w:r>
      <w:r>
        <w:rPr>
          <w:rFonts w:hint="eastAsia"/>
          <w:sz w:val="32"/>
          <w:szCs w:val="32"/>
        </w:rPr>
        <w:t>惩戒措施、信用修复与名单退出</w:t>
      </w:r>
      <w:r>
        <w:rPr>
          <w:sz w:val="32"/>
          <w:szCs w:val="32"/>
        </w:rPr>
        <w:t>。</w:t>
      </w:r>
    </w:p>
    <w:p>
      <w:pPr>
        <w:spacing w:after="0" w:line="600" w:lineRule="exact"/>
        <w:ind w:firstLine="640"/>
        <w:rPr>
          <w:sz w:val="32"/>
          <w:szCs w:val="32"/>
        </w:rPr>
      </w:pPr>
      <w:r>
        <w:rPr>
          <w:rFonts w:hint="eastAsia"/>
          <w:sz w:val="32"/>
          <w:szCs w:val="32"/>
        </w:rPr>
        <w:t>本办法</w:t>
      </w:r>
      <w:r>
        <w:rPr>
          <w:sz w:val="32"/>
          <w:szCs w:val="32"/>
        </w:rPr>
        <w:t>所称取用水严重失信主体，是指违反取用水</w:t>
      </w:r>
      <w:r>
        <w:rPr>
          <w:rFonts w:hint="eastAsia"/>
          <w:sz w:val="32"/>
          <w:szCs w:val="32"/>
        </w:rPr>
        <w:t>管理</w:t>
      </w:r>
      <w:r>
        <w:rPr>
          <w:sz w:val="32"/>
          <w:szCs w:val="32"/>
        </w:rPr>
        <w:t>有关法律法规，</w:t>
      </w:r>
      <w:r>
        <w:rPr>
          <w:rFonts w:hint="eastAsia"/>
          <w:sz w:val="32"/>
          <w:szCs w:val="32"/>
        </w:rPr>
        <w:t>受到司法判决、</w:t>
      </w:r>
      <w:r>
        <w:rPr>
          <w:sz w:val="32"/>
          <w:szCs w:val="32"/>
        </w:rPr>
        <w:t>行政处罚</w:t>
      </w:r>
      <w:r>
        <w:rPr>
          <w:rFonts w:hint="eastAsia"/>
          <w:sz w:val="32"/>
          <w:szCs w:val="32"/>
        </w:rPr>
        <w:t>或行政强制，</w:t>
      </w:r>
      <w:r>
        <w:rPr>
          <w:sz w:val="32"/>
          <w:szCs w:val="32"/>
        </w:rPr>
        <w:t>并且性质恶劣、情节严重</w:t>
      </w:r>
      <w:r>
        <w:rPr>
          <w:rFonts w:hint="eastAsia"/>
          <w:sz w:val="32"/>
          <w:szCs w:val="32"/>
        </w:rPr>
        <w:t>、经济和生态及社会影响较大，被列入取用水严重失信主体名单</w:t>
      </w:r>
      <w:r>
        <w:rPr>
          <w:sz w:val="32"/>
          <w:szCs w:val="32"/>
        </w:rPr>
        <w:t>的</w:t>
      </w:r>
      <w:r>
        <w:rPr>
          <w:rFonts w:hint="eastAsia"/>
          <w:sz w:val="32"/>
          <w:szCs w:val="32"/>
        </w:rPr>
        <w:t>取用水户和建设项目</w:t>
      </w:r>
      <w:r>
        <w:rPr>
          <w:sz w:val="32"/>
          <w:szCs w:val="32"/>
        </w:rPr>
        <w:t>水资源论证</w:t>
      </w:r>
      <w:r>
        <w:rPr>
          <w:rFonts w:hint="eastAsia"/>
          <w:sz w:val="32"/>
          <w:szCs w:val="32"/>
        </w:rPr>
        <w:t>报告书</w:t>
      </w:r>
      <w:r>
        <w:rPr>
          <w:sz w:val="32"/>
          <w:szCs w:val="32"/>
        </w:rPr>
        <w:t>编制</w:t>
      </w:r>
      <w:r>
        <w:rPr>
          <w:rFonts w:hint="eastAsia"/>
          <w:sz w:val="32"/>
          <w:szCs w:val="32"/>
        </w:rPr>
        <w:t>单位（以下简称报告书编制单位）。</w:t>
      </w:r>
    </w:p>
    <w:p>
      <w:pPr>
        <w:numPr>
          <w:ilvl w:val="255"/>
          <w:numId w:val="0"/>
        </w:numPr>
        <w:snapToGrid w:val="0"/>
        <w:spacing w:after="0" w:line="600" w:lineRule="exact"/>
        <w:ind w:firstLine="662" w:firstLineChars="200"/>
        <w:outlineLvl w:val="1"/>
        <w:rPr>
          <w:sz w:val="32"/>
          <w:szCs w:val="32"/>
        </w:rPr>
      </w:pPr>
      <w:bookmarkStart w:id="9" w:name="_Toc36967261"/>
      <w:bookmarkStart w:id="10" w:name="_Toc182295463"/>
      <w:bookmarkStart w:id="11" w:name="_Toc1807240196"/>
      <w:r>
        <w:rPr>
          <w:b/>
          <w:bCs/>
          <w:sz w:val="32"/>
          <w:szCs w:val="32"/>
        </w:rPr>
        <w:t>第</w:t>
      </w:r>
      <w:r>
        <w:rPr>
          <w:rFonts w:hint="eastAsia"/>
          <w:b/>
          <w:bCs/>
          <w:sz w:val="32"/>
          <w:szCs w:val="32"/>
        </w:rPr>
        <w:t>三</w:t>
      </w:r>
      <w:r>
        <w:rPr>
          <w:b/>
          <w:bCs/>
          <w:sz w:val="32"/>
          <w:szCs w:val="32"/>
        </w:rPr>
        <w:t>条（</w:t>
      </w:r>
      <w:r>
        <w:rPr>
          <w:rFonts w:hint="eastAsia"/>
          <w:b/>
          <w:bCs/>
          <w:sz w:val="32"/>
          <w:szCs w:val="32"/>
        </w:rPr>
        <w:t>基本原则</w:t>
      </w:r>
      <w:r>
        <w:rPr>
          <w:b/>
          <w:bCs/>
          <w:sz w:val="32"/>
          <w:szCs w:val="32"/>
        </w:rPr>
        <w:t>）</w:t>
      </w:r>
      <w:bookmarkEnd w:id="9"/>
      <w:bookmarkEnd w:id="10"/>
      <w:bookmarkEnd w:id="11"/>
      <w:r>
        <w:rPr>
          <w:rFonts w:hint="eastAsia"/>
          <w:sz w:val="32"/>
          <w:szCs w:val="32"/>
        </w:rPr>
        <w:t>取用水严重失信主体名单管理坚持</w:t>
      </w:r>
      <w:r>
        <w:rPr>
          <w:sz w:val="32"/>
          <w:szCs w:val="32"/>
        </w:rPr>
        <w:t>依法依规、</w:t>
      </w:r>
      <w:r>
        <w:rPr>
          <w:rFonts w:hint="eastAsia"/>
          <w:sz w:val="32"/>
          <w:szCs w:val="32"/>
        </w:rPr>
        <w:t>客观公正、公开透明、过惩相当、分步推进、动态管理。</w:t>
      </w:r>
    </w:p>
    <w:p>
      <w:pPr>
        <w:numPr>
          <w:ilvl w:val="255"/>
          <w:numId w:val="0"/>
        </w:numPr>
        <w:snapToGrid w:val="0"/>
        <w:spacing w:after="0" w:line="600" w:lineRule="exact"/>
        <w:ind w:firstLine="662" w:firstLineChars="200"/>
        <w:outlineLvl w:val="1"/>
        <w:rPr>
          <w:sz w:val="32"/>
          <w:szCs w:val="32"/>
        </w:rPr>
      </w:pPr>
      <w:bookmarkStart w:id="12" w:name="_Toc998816460"/>
      <w:bookmarkStart w:id="13" w:name="_Toc182295464"/>
      <w:bookmarkStart w:id="14" w:name="_Toc166886087"/>
      <w:r>
        <w:rPr>
          <w:b/>
          <w:bCs/>
          <w:sz w:val="32"/>
          <w:szCs w:val="32"/>
        </w:rPr>
        <w:t>第</w:t>
      </w:r>
      <w:r>
        <w:rPr>
          <w:rFonts w:hint="eastAsia"/>
          <w:b/>
          <w:bCs/>
          <w:sz w:val="32"/>
          <w:szCs w:val="32"/>
        </w:rPr>
        <w:t>四</w:t>
      </w:r>
      <w:r>
        <w:rPr>
          <w:b/>
          <w:bCs/>
          <w:sz w:val="32"/>
          <w:szCs w:val="32"/>
        </w:rPr>
        <w:t>条（</w:t>
      </w:r>
      <w:r>
        <w:rPr>
          <w:rFonts w:hint="eastAsia"/>
          <w:b/>
          <w:bCs/>
          <w:sz w:val="32"/>
          <w:szCs w:val="32"/>
        </w:rPr>
        <w:t>工作职责</w:t>
      </w:r>
      <w:r>
        <w:rPr>
          <w:b/>
          <w:bCs/>
          <w:sz w:val="32"/>
          <w:szCs w:val="32"/>
        </w:rPr>
        <w:t>）</w:t>
      </w:r>
      <w:bookmarkEnd w:id="12"/>
      <w:bookmarkEnd w:id="13"/>
      <w:bookmarkEnd w:id="14"/>
      <w:r>
        <w:rPr>
          <w:rFonts w:hint="eastAsia"/>
          <w:sz w:val="32"/>
          <w:szCs w:val="32"/>
        </w:rPr>
        <w:t>水利部负责组织</w:t>
      </w:r>
      <w:r>
        <w:rPr>
          <w:sz w:val="32"/>
          <w:szCs w:val="32"/>
        </w:rPr>
        <w:t>、指导全国取用水</w:t>
      </w:r>
      <w:r>
        <w:rPr>
          <w:rFonts w:hint="eastAsia"/>
          <w:sz w:val="32"/>
          <w:szCs w:val="32"/>
        </w:rPr>
        <w:t>严重失信主体名单管理工作。</w:t>
      </w:r>
    </w:p>
    <w:p>
      <w:pPr>
        <w:numPr>
          <w:ilvl w:val="255"/>
          <w:numId w:val="0"/>
        </w:numPr>
        <w:spacing w:after="0" w:line="600" w:lineRule="exact"/>
        <w:ind w:firstLine="662" w:firstLineChars="200"/>
        <w:rPr>
          <w:sz w:val="32"/>
          <w:szCs w:val="32"/>
        </w:rPr>
      </w:pPr>
      <w:r>
        <w:rPr>
          <w:rFonts w:hint="eastAsia"/>
          <w:sz w:val="32"/>
          <w:szCs w:val="32"/>
        </w:rPr>
        <w:t>水利部所属流域管理机构（以下简称流域管理机构）负责取水许可管理权限内的取用水严重失信主体名单管理工作。</w:t>
      </w:r>
    </w:p>
    <w:p>
      <w:pPr>
        <w:numPr>
          <w:ilvl w:val="255"/>
          <w:numId w:val="0"/>
        </w:numPr>
        <w:spacing w:after="0" w:line="600" w:lineRule="exact"/>
        <w:ind w:firstLine="662" w:firstLineChars="200"/>
        <w:rPr>
          <w:sz w:val="32"/>
          <w:szCs w:val="32"/>
        </w:rPr>
      </w:pPr>
      <w:r>
        <w:rPr>
          <w:rFonts w:hint="eastAsia"/>
          <w:sz w:val="32"/>
          <w:szCs w:val="32"/>
        </w:rPr>
        <w:t>省、自治区、直辖市人民政府</w:t>
      </w:r>
      <w:r>
        <w:rPr>
          <w:sz w:val="32"/>
          <w:szCs w:val="32"/>
        </w:rPr>
        <w:t>水行政主管部门</w:t>
      </w:r>
      <w:r>
        <w:rPr>
          <w:rFonts w:hint="eastAsia"/>
          <w:sz w:val="32"/>
          <w:szCs w:val="32"/>
        </w:rPr>
        <w:t>负责其管辖</w:t>
      </w:r>
      <w:r>
        <w:rPr>
          <w:sz w:val="32"/>
          <w:szCs w:val="32"/>
        </w:rPr>
        <w:t>范围内</w:t>
      </w:r>
      <w:r>
        <w:rPr>
          <w:rFonts w:hint="eastAsia"/>
          <w:sz w:val="32"/>
          <w:szCs w:val="32"/>
        </w:rPr>
        <w:t>其他取用水严重失信</w:t>
      </w:r>
      <w:r>
        <w:rPr>
          <w:sz w:val="32"/>
          <w:szCs w:val="32"/>
        </w:rPr>
        <w:t>主体</w:t>
      </w:r>
      <w:r>
        <w:rPr>
          <w:rFonts w:hint="eastAsia"/>
          <w:sz w:val="32"/>
          <w:szCs w:val="32"/>
        </w:rPr>
        <w:t>名单管理工作。</w:t>
      </w:r>
    </w:p>
    <w:p>
      <w:pPr>
        <w:numPr>
          <w:ilvl w:val="255"/>
          <w:numId w:val="0"/>
        </w:numPr>
        <w:snapToGrid w:val="0"/>
        <w:spacing w:after="0" w:line="600" w:lineRule="exact"/>
        <w:ind w:firstLine="662" w:firstLineChars="200"/>
        <w:outlineLvl w:val="1"/>
        <w:rPr>
          <w:sz w:val="32"/>
          <w:szCs w:val="32"/>
        </w:rPr>
      </w:pPr>
      <w:r>
        <w:rPr>
          <w:rFonts w:hint="eastAsia"/>
          <w:b/>
          <w:bCs/>
          <w:sz w:val="32"/>
          <w:szCs w:val="32"/>
        </w:rPr>
        <w:t>第五条（信息</w:t>
      </w:r>
      <w:r>
        <w:rPr>
          <w:b/>
          <w:bCs/>
          <w:sz w:val="32"/>
          <w:szCs w:val="32"/>
        </w:rPr>
        <w:t>共享与应用</w:t>
      </w:r>
      <w:r>
        <w:rPr>
          <w:rFonts w:hint="eastAsia"/>
          <w:b/>
          <w:bCs/>
          <w:sz w:val="32"/>
          <w:szCs w:val="32"/>
        </w:rPr>
        <w:t>）</w:t>
      </w:r>
      <w:r>
        <w:rPr>
          <w:rFonts w:hint="eastAsia"/>
          <w:sz w:val="32"/>
          <w:szCs w:val="32"/>
        </w:rPr>
        <w:t>流域管理机构和各级水行政主管部门应当加大信用信息保护力度，推进与</w:t>
      </w:r>
      <w:r>
        <w:rPr>
          <w:rFonts w:hint="eastAsia"/>
          <w:sz w:val="32"/>
          <w:szCs w:val="32"/>
          <w:lang w:eastAsia="zh-CN"/>
        </w:rPr>
        <w:t>相关</w:t>
      </w:r>
      <w:r>
        <w:rPr>
          <w:rFonts w:hint="eastAsia"/>
          <w:sz w:val="32"/>
          <w:szCs w:val="32"/>
        </w:rPr>
        <w:t>部门</w:t>
      </w:r>
      <w:r>
        <w:rPr>
          <w:rFonts w:hint="eastAsia"/>
          <w:sz w:val="32"/>
          <w:szCs w:val="32"/>
          <w:lang w:eastAsia="zh-CN"/>
        </w:rPr>
        <w:t>、单位和行业协会</w:t>
      </w:r>
      <w:r>
        <w:rPr>
          <w:rFonts w:hint="eastAsia"/>
          <w:sz w:val="32"/>
          <w:szCs w:val="32"/>
        </w:rPr>
        <w:t>间的信息共享共用，依法依规实施失信惩戒。</w:t>
      </w:r>
    </w:p>
    <w:p>
      <w:pPr>
        <w:numPr>
          <w:ilvl w:val="255"/>
          <w:numId w:val="0"/>
        </w:numPr>
        <w:spacing w:after="0" w:line="600" w:lineRule="exact"/>
        <w:ind w:firstLine="662" w:firstLineChars="200"/>
        <w:jc w:val="left"/>
        <w:rPr>
          <w:rFonts w:ascii="黑体" w:hAnsi="黑体" w:eastAsia="黑体" w:cs="黑体"/>
          <w:bCs/>
          <w:kern w:val="44"/>
          <w:sz w:val="32"/>
          <w:szCs w:val="32"/>
        </w:rPr>
      </w:pPr>
      <w:r>
        <w:rPr>
          <w:sz w:val="32"/>
          <w:szCs w:val="32"/>
        </w:rPr>
        <w:t>依法保护取用水户</w:t>
      </w:r>
      <w:r>
        <w:rPr>
          <w:rFonts w:hint="eastAsia"/>
          <w:sz w:val="32"/>
          <w:szCs w:val="32"/>
        </w:rPr>
        <w:t>和报告书编制单位的</w:t>
      </w:r>
      <w:r>
        <w:rPr>
          <w:sz w:val="32"/>
          <w:szCs w:val="32"/>
        </w:rPr>
        <w:t>合法权益，对取用水严重失信主体</w:t>
      </w:r>
      <w:r>
        <w:rPr>
          <w:rFonts w:hint="eastAsia"/>
          <w:sz w:val="32"/>
          <w:szCs w:val="32"/>
        </w:rPr>
        <w:t>名单</w:t>
      </w:r>
      <w:r>
        <w:rPr>
          <w:sz w:val="32"/>
          <w:szCs w:val="32"/>
        </w:rPr>
        <w:t>管理工作中知悉的国家秘密、商业秘密、个人隐私或者可能危及国家安全、公共安全、经济安全</w:t>
      </w:r>
      <w:r>
        <w:rPr>
          <w:rFonts w:hint="eastAsia"/>
          <w:sz w:val="32"/>
          <w:szCs w:val="32"/>
        </w:rPr>
        <w:t>、生态安全</w:t>
      </w:r>
      <w:r>
        <w:rPr>
          <w:sz w:val="32"/>
          <w:szCs w:val="32"/>
        </w:rPr>
        <w:t>和社会稳定的相关信息，应予以保密。</w:t>
      </w:r>
      <w:bookmarkStart w:id="15" w:name="_Toc182295465"/>
      <w:bookmarkStart w:id="16" w:name="_Toc370094522"/>
      <w:bookmarkStart w:id="17" w:name="_Toc787506595"/>
    </w:p>
    <w:p>
      <w:pPr>
        <w:keepNext/>
        <w:keepLines/>
        <w:numPr>
          <w:ilvl w:val="255"/>
          <w:numId w:val="0"/>
        </w:numPr>
        <w:adjustRightInd w:val="0"/>
        <w:snapToGrid w:val="0"/>
        <w:spacing w:after="0" w:line="600" w:lineRule="exact"/>
        <w:jc w:val="center"/>
        <w:rPr>
          <w:rFonts w:ascii="黑体" w:hAnsi="黑体" w:eastAsia="黑体" w:cs="黑体"/>
          <w:bCs/>
          <w:kern w:val="44"/>
          <w:sz w:val="32"/>
          <w:szCs w:val="32"/>
        </w:rPr>
      </w:pPr>
    </w:p>
    <w:p>
      <w:pPr>
        <w:keepNext/>
        <w:keepLines/>
        <w:numPr>
          <w:ilvl w:val="255"/>
          <w:numId w:val="0"/>
        </w:numPr>
        <w:adjustRightInd w:val="0"/>
        <w:snapToGrid w:val="0"/>
        <w:spacing w:after="0" w:line="600" w:lineRule="exact"/>
        <w:jc w:val="center"/>
        <w:outlineLvl w:val="0"/>
        <w:rPr>
          <w:rFonts w:ascii="黑体" w:hAnsi="黑体" w:eastAsia="黑体" w:cs="黑体"/>
          <w:bCs/>
          <w:kern w:val="44"/>
          <w:sz w:val="32"/>
          <w:szCs w:val="32"/>
        </w:rPr>
      </w:pPr>
      <w:r>
        <w:rPr>
          <w:rFonts w:ascii="黑体" w:hAnsi="黑体" w:eastAsia="黑体" w:cs="黑体"/>
          <w:bCs/>
          <w:kern w:val="44"/>
          <w:sz w:val="32"/>
          <w:szCs w:val="32"/>
        </w:rPr>
        <w:t>第二章  主体认定</w:t>
      </w:r>
      <w:bookmarkEnd w:id="15"/>
      <w:bookmarkEnd w:id="16"/>
      <w:bookmarkEnd w:id="17"/>
      <w:r>
        <w:rPr>
          <w:rFonts w:hint="eastAsia" w:ascii="黑体" w:hAnsi="黑体" w:eastAsia="黑体" w:cs="黑体"/>
          <w:bCs/>
          <w:kern w:val="44"/>
          <w:sz w:val="32"/>
          <w:szCs w:val="32"/>
        </w:rPr>
        <w:t>及名单</w:t>
      </w:r>
      <w:r>
        <w:rPr>
          <w:rFonts w:ascii="黑体" w:hAnsi="黑体" w:eastAsia="黑体" w:cs="黑体"/>
          <w:bCs/>
          <w:kern w:val="44"/>
          <w:sz w:val="32"/>
          <w:szCs w:val="32"/>
        </w:rPr>
        <w:t>列入</w:t>
      </w:r>
    </w:p>
    <w:p>
      <w:pPr>
        <w:numPr>
          <w:ilvl w:val="255"/>
          <w:numId w:val="0"/>
        </w:numPr>
        <w:snapToGrid w:val="0"/>
        <w:spacing w:after="0" w:line="600" w:lineRule="exact"/>
        <w:ind w:firstLine="662" w:firstLineChars="200"/>
        <w:outlineLvl w:val="1"/>
        <w:rPr>
          <w:sz w:val="32"/>
          <w:szCs w:val="32"/>
        </w:rPr>
      </w:pPr>
      <w:bookmarkStart w:id="18" w:name="_Toc678785295"/>
      <w:bookmarkStart w:id="19" w:name="_Toc182295466"/>
      <w:bookmarkStart w:id="20" w:name="_Toc979703408"/>
      <w:r>
        <w:rPr>
          <w:b/>
          <w:bCs/>
          <w:sz w:val="32"/>
          <w:szCs w:val="32"/>
        </w:rPr>
        <w:t>第</w:t>
      </w:r>
      <w:r>
        <w:rPr>
          <w:rFonts w:hint="eastAsia"/>
          <w:b/>
          <w:bCs/>
          <w:sz w:val="32"/>
          <w:szCs w:val="32"/>
        </w:rPr>
        <w:t>六</w:t>
      </w:r>
      <w:r>
        <w:rPr>
          <w:b/>
          <w:bCs/>
          <w:sz w:val="32"/>
          <w:szCs w:val="32"/>
        </w:rPr>
        <w:t>条（认定标准）</w:t>
      </w:r>
      <w:bookmarkEnd w:id="18"/>
      <w:bookmarkEnd w:id="19"/>
      <w:bookmarkEnd w:id="20"/>
      <w:r>
        <w:rPr>
          <w:rFonts w:hint="eastAsia"/>
          <w:sz w:val="32"/>
          <w:szCs w:val="32"/>
        </w:rPr>
        <w:t>取用水户和报告书编制单位存在以下情形之一的，</w:t>
      </w:r>
      <w:r>
        <w:rPr>
          <w:sz w:val="32"/>
          <w:szCs w:val="32"/>
        </w:rPr>
        <w:t>应当列入</w:t>
      </w:r>
      <w:r>
        <w:rPr>
          <w:rFonts w:hint="eastAsia"/>
          <w:sz w:val="32"/>
          <w:szCs w:val="32"/>
        </w:rPr>
        <w:t>取用水严重失信</w:t>
      </w:r>
      <w:r>
        <w:rPr>
          <w:sz w:val="32"/>
          <w:szCs w:val="32"/>
        </w:rPr>
        <w:t>主体名单</w:t>
      </w:r>
      <w:r>
        <w:rPr>
          <w:rFonts w:hint="eastAsia"/>
          <w:sz w:val="32"/>
          <w:szCs w:val="32"/>
        </w:rPr>
        <w:t>：</w:t>
      </w:r>
    </w:p>
    <w:p>
      <w:pPr>
        <w:numPr>
          <w:ilvl w:val="255"/>
          <w:numId w:val="0"/>
        </w:numPr>
        <w:spacing w:after="0" w:line="600" w:lineRule="exact"/>
        <w:ind w:firstLine="662" w:firstLineChars="200"/>
        <w:rPr>
          <w:sz w:val="32"/>
          <w:szCs w:val="32"/>
        </w:rPr>
      </w:pPr>
      <w:r>
        <w:rPr>
          <w:rFonts w:hint="eastAsia"/>
          <w:sz w:val="32"/>
          <w:szCs w:val="32"/>
        </w:rPr>
        <w:t>（一）取用水户因未经批准擅自取水或兴建取水工程、设施，或者未依照批准的取水许可规定条件取水</w:t>
      </w:r>
      <w:r>
        <w:rPr>
          <w:rFonts w:hint="eastAsia"/>
        </w:rPr>
        <w:t>，</w:t>
      </w:r>
      <w:r>
        <w:rPr>
          <w:rFonts w:hint="eastAsia"/>
          <w:sz w:val="32"/>
          <w:szCs w:val="32"/>
        </w:rPr>
        <w:t>受到所在流域管理机构或省（自治区、直辖市）水行政处罚裁量基准中最高标准处罚的；</w:t>
      </w:r>
    </w:p>
    <w:p>
      <w:pPr>
        <w:numPr>
          <w:ilvl w:val="255"/>
          <w:numId w:val="0"/>
        </w:numPr>
        <w:spacing w:after="0" w:line="600" w:lineRule="exact"/>
        <w:ind w:firstLine="662" w:firstLineChars="200"/>
        <w:rPr>
          <w:sz w:val="32"/>
          <w:szCs w:val="32"/>
        </w:rPr>
      </w:pPr>
      <w:r>
        <w:rPr>
          <w:rFonts w:hint="eastAsia"/>
          <w:sz w:val="32"/>
          <w:szCs w:val="32"/>
        </w:rPr>
        <w:t>（二）取用水户因违法违规被吊销取水许可证的；</w:t>
      </w:r>
    </w:p>
    <w:p>
      <w:pPr>
        <w:numPr>
          <w:ilvl w:val="255"/>
          <w:numId w:val="0"/>
        </w:numPr>
        <w:spacing w:after="0" w:line="600" w:lineRule="exact"/>
        <w:ind w:firstLine="662" w:firstLineChars="200"/>
        <w:rPr>
          <w:sz w:val="32"/>
          <w:szCs w:val="32"/>
        </w:rPr>
      </w:pPr>
      <w:r>
        <w:rPr>
          <w:rFonts w:hint="eastAsia"/>
          <w:sz w:val="32"/>
          <w:szCs w:val="32"/>
        </w:rPr>
        <w:t>（三）取用水户因欺骗、故意隐匿、伪造、变造材料等不正当手段取得取水许可批准文件或取水许可证，或者伪造、变造许可证、批准文件，受到所在流域管理机构或省（自治区、直辖市）水行政处罚裁量基准中最高标准处罚的；</w:t>
      </w:r>
    </w:p>
    <w:p>
      <w:pPr>
        <w:spacing w:after="0" w:line="600" w:lineRule="exact"/>
        <w:ind w:firstLine="640"/>
        <w:rPr>
          <w:sz w:val="32"/>
          <w:szCs w:val="32"/>
        </w:rPr>
      </w:pPr>
      <w:r>
        <w:rPr>
          <w:sz w:val="32"/>
          <w:szCs w:val="32"/>
        </w:rPr>
        <w:t>（</w:t>
      </w:r>
      <w:r>
        <w:rPr>
          <w:rFonts w:hint="eastAsia"/>
          <w:sz w:val="32"/>
          <w:szCs w:val="32"/>
        </w:rPr>
        <w:t>四</w:t>
      </w:r>
      <w:r>
        <w:rPr>
          <w:sz w:val="32"/>
          <w:szCs w:val="32"/>
        </w:rPr>
        <w:t>）</w:t>
      </w:r>
      <w:r>
        <w:rPr>
          <w:rFonts w:hint="eastAsia"/>
          <w:sz w:val="32"/>
          <w:szCs w:val="32"/>
        </w:rPr>
        <w:t>报告书编制单位因在建设项目水资源论证工作中弄虚作假，被处以最高额度罚款的；</w:t>
      </w:r>
    </w:p>
    <w:p>
      <w:pPr>
        <w:numPr>
          <w:ilvl w:val="255"/>
          <w:numId w:val="0"/>
        </w:numPr>
        <w:spacing w:after="0" w:line="600" w:lineRule="exact"/>
        <w:ind w:firstLine="662" w:firstLineChars="200"/>
        <w:rPr>
          <w:sz w:val="32"/>
          <w:szCs w:val="32"/>
        </w:rPr>
      </w:pPr>
      <w:r>
        <w:rPr>
          <w:rFonts w:hint="eastAsia"/>
          <w:sz w:val="32"/>
          <w:szCs w:val="32"/>
        </w:rPr>
        <w:t>（五）取用水户因取水量达到取水规模以上未安装在线计量设施或计量设施不合格、运行不正常等情节严重，受到所在流域管理机构或省（自治区、直辖市）水行政处罚裁量基准中最高标准处罚的；</w:t>
      </w:r>
    </w:p>
    <w:p>
      <w:pPr>
        <w:spacing w:after="0" w:line="600" w:lineRule="exact"/>
        <w:ind w:firstLine="640"/>
        <w:rPr>
          <w:sz w:val="32"/>
          <w:szCs w:val="32"/>
        </w:rPr>
      </w:pPr>
      <w:r>
        <w:rPr>
          <w:rFonts w:hint="eastAsia"/>
          <w:sz w:val="32"/>
          <w:szCs w:val="32"/>
        </w:rPr>
        <w:t>（六）作出司法裁判、行政处罚决定后，</w:t>
      </w:r>
      <w:r>
        <w:rPr>
          <w:sz w:val="32"/>
          <w:szCs w:val="32"/>
        </w:rPr>
        <w:t>有执行能力</w:t>
      </w:r>
      <w:r>
        <w:rPr>
          <w:rFonts w:hint="eastAsia"/>
          <w:sz w:val="32"/>
          <w:szCs w:val="32"/>
        </w:rPr>
        <w:t>而拒不执行或者逃避执行，逾期持续时间超过6个月的；</w:t>
      </w:r>
    </w:p>
    <w:p>
      <w:pPr>
        <w:spacing w:after="0" w:line="600" w:lineRule="exact"/>
        <w:ind w:firstLine="640"/>
        <w:rPr>
          <w:sz w:val="32"/>
          <w:szCs w:val="32"/>
        </w:rPr>
      </w:pPr>
      <w:r>
        <w:rPr>
          <w:rFonts w:hint="eastAsia"/>
          <w:sz w:val="32"/>
          <w:szCs w:val="32"/>
        </w:rPr>
        <w:t>（七）受到</w:t>
      </w:r>
      <w:r>
        <w:rPr>
          <w:sz w:val="32"/>
          <w:szCs w:val="32"/>
        </w:rPr>
        <w:t>法律、行政法规和部门规章规定的其他与取用水相关的较重行政处罚</w:t>
      </w:r>
      <w:r>
        <w:rPr>
          <w:rFonts w:hint="eastAsia"/>
          <w:sz w:val="32"/>
          <w:szCs w:val="32"/>
        </w:rPr>
        <w:t>，且性质恶劣、情节严重</w:t>
      </w:r>
      <w:r>
        <w:rPr>
          <w:sz w:val="32"/>
          <w:szCs w:val="32"/>
        </w:rPr>
        <w:t>的。</w:t>
      </w:r>
    </w:p>
    <w:p>
      <w:pPr>
        <w:snapToGrid w:val="0"/>
        <w:spacing w:after="0" w:line="600" w:lineRule="exact"/>
        <w:ind w:firstLine="642"/>
        <w:outlineLvl w:val="1"/>
        <w:rPr>
          <w:sz w:val="32"/>
          <w:szCs w:val="32"/>
        </w:rPr>
      </w:pPr>
      <w:bookmarkStart w:id="21" w:name="_Toc182295467"/>
      <w:bookmarkStart w:id="22" w:name="_Toc975505706"/>
      <w:bookmarkStart w:id="23" w:name="_Toc1643053754"/>
      <w:r>
        <w:rPr>
          <w:b/>
          <w:bCs/>
          <w:sz w:val="32"/>
          <w:szCs w:val="32"/>
        </w:rPr>
        <w:t>第</w:t>
      </w:r>
      <w:r>
        <w:rPr>
          <w:rFonts w:hint="eastAsia"/>
          <w:b/>
          <w:bCs/>
          <w:sz w:val="32"/>
          <w:szCs w:val="32"/>
        </w:rPr>
        <w:t>七</w:t>
      </w:r>
      <w:r>
        <w:rPr>
          <w:b/>
          <w:bCs/>
          <w:sz w:val="32"/>
          <w:szCs w:val="32"/>
        </w:rPr>
        <w:t>条（认定依据）</w:t>
      </w:r>
      <w:bookmarkEnd w:id="21"/>
      <w:bookmarkEnd w:id="22"/>
      <w:bookmarkEnd w:id="23"/>
      <w:r>
        <w:rPr>
          <w:rFonts w:hint="eastAsia"/>
          <w:sz w:val="32"/>
          <w:szCs w:val="32"/>
        </w:rPr>
        <w:t>对本办法第六条规定行为的认定</w:t>
      </w:r>
      <w:r>
        <w:rPr>
          <w:sz w:val="32"/>
          <w:szCs w:val="32"/>
        </w:rPr>
        <w:t>必须以具有法律效力的文书为依据，包括生效的司法裁判文书和仲裁文书</w:t>
      </w:r>
      <w:r>
        <w:rPr>
          <w:rFonts w:hint="eastAsia"/>
          <w:sz w:val="32"/>
          <w:szCs w:val="32"/>
        </w:rPr>
        <w:t>,</w:t>
      </w:r>
      <w:r>
        <w:rPr>
          <w:sz w:val="32"/>
          <w:szCs w:val="32"/>
        </w:rPr>
        <w:t>行政处罚、</w:t>
      </w:r>
      <w:r>
        <w:rPr>
          <w:rFonts w:hint="eastAsia"/>
          <w:sz w:val="32"/>
          <w:szCs w:val="32"/>
        </w:rPr>
        <w:t>行政强制</w:t>
      </w:r>
      <w:r>
        <w:rPr>
          <w:sz w:val="32"/>
          <w:szCs w:val="32"/>
        </w:rPr>
        <w:t>和行政裁决等行政行为决定文书，以及法律、法规或者党中央、国务院政策文件规定可作为</w:t>
      </w:r>
      <w:r>
        <w:rPr>
          <w:rFonts w:hint="eastAsia"/>
          <w:sz w:val="32"/>
          <w:szCs w:val="32"/>
        </w:rPr>
        <w:t>严重</w:t>
      </w:r>
      <w:r>
        <w:rPr>
          <w:sz w:val="32"/>
          <w:szCs w:val="32"/>
        </w:rPr>
        <w:t>失信行为认定依据的其他文书。</w:t>
      </w:r>
    </w:p>
    <w:p>
      <w:pPr>
        <w:numPr>
          <w:ilvl w:val="255"/>
          <w:numId w:val="0"/>
        </w:numPr>
        <w:spacing w:after="0" w:line="600" w:lineRule="exact"/>
        <w:ind w:firstLine="662" w:firstLineChars="200"/>
        <w:outlineLvl w:val="1"/>
        <w:rPr>
          <w:sz w:val="32"/>
          <w:szCs w:val="32"/>
        </w:rPr>
      </w:pPr>
      <w:bookmarkStart w:id="24" w:name="_Toc24208351"/>
      <w:bookmarkStart w:id="25" w:name="_Toc273070932"/>
      <w:bookmarkStart w:id="26" w:name="_Toc182295468"/>
      <w:r>
        <w:rPr>
          <w:b/>
          <w:bCs/>
          <w:sz w:val="32"/>
          <w:szCs w:val="32"/>
        </w:rPr>
        <w:t>第</w:t>
      </w:r>
      <w:r>
        <w:rPr>
          <w:rFonts w:hint="eastAsia"/>
          <w:b/>
          <w:bCs/>
          <w:sz w:val="32"/>
          <w:szCs w:val="32"/>
        </w:rPr>
        <w:t>八</w:t>
      </w:r>
      <w:r>
        <w:rPr>
          <w:b/>
          <w:bCs/>
          <w:sz w:val="32"/>
          <w:szCs w:val="32"/>
        </w:rPr>
        <w:t>条（告知）</w:t>
      </w:r>
      <w:bookmarkEnd w:id="24"/>
      <w:bookmarkEnd w:id="25"/>
      <w:bookmarkEnd w:id="26"/>
      <w:r>
        <w:rPr>
          <w:sz w:val="32"/>
          <w:szCs w:val="32"/>
        </w:rPr>
        <w:t>流域管理机构</w:t>
      </w:r>
      <w:r>
        <w:rPr>
          <w:rFonts w:hint="eastAsia"/>
          <w:sz w:val="32"/>
          <w:szCs w:val="32"/>
        </w:rPr>
        <w:t>和县级以上地方人民政府</w:t>
      </w:r>
      <w:r>
        <w:rPr>
          <w:sz w:val="32"/>
          <w:szCs w:val="32"/>
        </w:rPr>
        <w:t>水行政主管部门</w:t>
      </w:r>
      <w:r>
        <w:rPr>
          <w:rFonts w:hint="eastAsia"/>
          <w:sz w:val="32"/>
          <w:szCs w:val="32"/>
        </w:rPr>
        <w:t>是</w:t>
      </w:r>
      <w:r>
        <w:rPr>
          <w:sz w:val="32"/>
          <w:szCs w:val="32"/>
        </w:rPr>
        <w:t>取用水严重失信主体</w:t>
      </w:r>
      <w:r>
        <w:rPr>
          <w:rFonts w:hint="eastAsia"/>
          <w:sz w:val="32"/>
          <w:szCs w:val="32"/>
        </w:rPr>
        <w:t>的</w:t>
      </w:r>
      <w:r>
        <w:rPr>
          <w:sz w:val="32"/>
          <w:szCs w:val="32"/>
        </w:rPr>
        <w:t>认定单位</w:t>
      </w:r>
      <w:r>
        <w:rPr>
          <w:rFonts w:hint="eastAsia"/>
          <w:sz w:val="32"/>
          <w:szCs w:val="32"/>
        </w:rPr>
        <w:t>（以下简称认定单位）。</w:t>
      </w:r>
    </w:p>
    <w:p>
      <w:pPr>
        <w:numPr>
          <w:ilvl w:val="255"/>
          <w:numId w:val="0"/>
        </w:numPr>
        <w:spacing w:after="0" w:line="600" w:lineRule="exact"/>
        <w:ind w:firstLine="662" w:firstLineChars="200"/>
        <w:rPr>
          <w:sz w:val="32"/>
          <w:szCs w:val="32"/>
        </w:rPr>
      </w:pPr>
      <w:r>
        <w:rPr>
          <w:rFonts w:hint="eastAsia"/>
          <w:sz w:val="32"/>
          <w:szCs w:val="32"/>
        </w:rPr>
        <w:t>认定单位</w:t>
      </w:r>
      <w:r>
        <w:rPr>
          <w:sz w:val="32"/>
          <w:szCs w:val="32"/>
        </w:rPr>
        <w:t>对符合</w:t>
      </w:r>
      <w:r>
        <w:rPr>
          <w:rFonts w:hint="eastAsia"/>
          <w:sz w:val="32"/>
          <w:szCs w:val="32"/>
        </w:rPr>
        <w:t>本办法第六条除第（六）项以外认定标准之一</w:t>
      </w:r>
      <w:r>
        <w:rPr>
          <w:sz w:val="32"/>
          <w:szCs w:val="32"/>
        </w:rPr>
        <w:t>的</w:t>
      </w:r>
      <w:r>
        <w:rPr>
          <w:rFonts w:hint="eastAsia"/>
          <w:sz w:val="32"/>
          <w:szCs w:val="32"/>
        </w:rPr>
        <w:t>当事人，应当在行政处罚决定生效后5个工作日内，或者对符合第六条第（六）项认定标准的当事人，应当在逾期持续6个月后5个工作日内，制作并书面下达取用水严重失信主体认定告知书。</w:t>
      </w:r>
    </w:p>
    <w:p>
      <w:pPr>
        <w:snapToGrid w:val="0"/>
        <w:spacing w:after="0" w:line="600" w:lineRule="exact"/>
        <w:ind w:firstLine="662" w:firstLineChars="200"/>
        <w:outlineLvl w:val="1"/>
        <w:rPr>
          <w:sz w:val="32"/>
          <w:szCs w:val="32"/>
        </w:rPr>
      </w:pPr>
      <w:bookmarkStart w:id="27" w:name="_Toc944775371"/>
      <w:bookmarkStart w:id="28" w:name="_Toc949538479"/>
      <w:bookmarkStart w:id="29" w:name="_Toc182295469"/>
      <w:r>
        <w:rPr>
          <w:b/>
          <w:bCs/>
          <w:sz w:val="32"/>
          <w:szCs w:val="32"/>
        </w:rPr>
        <w:t>第</w:t>
      </w:r>
      <w:r>
        <w:rPr>
          <w:rFonts w:hint="eastAsia"/>
          <w:b/>
          <w:bCs/>
          <w:sz w:val="32"/>
          <w:szCs w:val="32"/>
        </w:rPr>
        <w:t>九</w:t>
      </w:r>
      <w:r>
        <w:rPr>
          <w:b/>
          <w:bCs/>
          <w:sz w:val="32"/>
          <w:szCs w:val="32"/>
        </w:rPr>
        <w:t>条（异议申诉）</w:t>
      </w:r>
      <w:bookmarkEnd w:id="27"/>
      <w:bookmarkEnd w:id="28"/>
      <w:bookmarkEnd w:id="29"/>
      <w:r>
        <w:rPr>
          <w:rFonts w:hint="eastAsia"/>
          <w:sz w:val="32"/>
          <w:szCs w:val="32"/>
        </w:rPr>
        <w:t>当事人</w:t>
      </w:r>
      <w:r>
        <w:rPr>
          <w:sz w:val="32"/>
          <w:szCs w:val="32"/>
        </w:rPr>
        <w:t>自收到取用水严重失信主体认定告知书之日起</w:t>
      </w:r>
      <w:r>
        <w:rPr>
          <w:rFonts w:hint="eastAsia"/>
          <w:sz w:val="32"/>
          <w:szCs w:val="32"/>
        </w:rPr>
        <w:t>7个</w:t>
      </w:r>
      <w:r>
        <w:rPr>
          <w:sz w:val="32"/>
          <w:szCs w:val="32"/>
        </w:rPr>
        <w:t>工作日内，可以向认定单位提出异议申请并提供证明材料</w:t>
      </w:r>
      <w:r>
        <w:rPr>
          <w:rFonts w:hint="eastAsia"/>
          <w:sz w:val="32"/>
          <w:szCs w:val="32"/>
        </w:rPr>
        <w:t>，逾期未提出</w:t>
      </w:r>
      <w:r>
        <w:rPr>
          <w:sz w:val="32"/>
          <w:szCs w:val="32"/>
        </w:rPr>
        <w:t>的视为</w:t>
      </w:r>
      <w:r>
        <w:rPr>
          <w:rFonts w:hint="eastAsia"/>
          <w:sz w:val="32"/>
          <w:szCs w:val="32"/>
        </w:rPr>
        <w:t>无异议</w:t>
      </w:r>
      <w:r>
        <w:rPr>
          <w:sz w:val="32"/>
          <w:szCs w:val="32"/>
        </w:rPr>
        <w:t>。</w:t>
      </w:r>
      <w:r>
        <w:rPr>
          <w:rFonts w:hint="eastAsia"/>
          <w:sz w:val="32"/>
          <w:szCs w:val="32"/>
        </w:rPr>
        <w:t>对本办法第六条认定标准中涉及的</w:t>
      </w:r>
      <w:r>
        <w:rPr>
          <w:sz w:val="32"/>
          <w:szCs w:val="32"/>
        </w:rPr>
        <w:t>行政处罚、</w:t>
      </w:r>
      <w:r>
        <w:rPr>
          <w:rFonts w:hint="eastAsia"/>
          <w:sz w:val="32"/>
          <w:szCs w:val="32"/>
        </w:rPr>
        <w:t>行政强制</w:t>
      </w:r>
      <w:r>
        <w:rPr>
          <w:sz w:val="32"/>
          <w:szCs w:val="32"/>
        </w:rPr>
        <w:t>和行政裁决等</w:t>
      </w:r>
      <w:r>
        <w:rPr>
          <w:rFonts w:hint="eastAsia"/>
          <w:sz w:val="32"/>
          <w:szCs w:val="32"/>
        </w:rPr>
        <w:t>行政行为提起行政复议、行政诉讼的，应在相关法定程序结束后5个工作日内向认定单位提供证明材料。</w:t>
      </w:r>
    </w:p>
    <w:p>
      <w:pPr>
        <w:spacing w:after="0" w:line="600" w:lineRule="exact"/>
        <w:ind w:firstLine="640"/>
        <w:rPr>
          <w:sz w:val="32"/>
          <w:szCs w:val="32"/>
        </w:rPr>
      </w:pPr>
      <w:r>
        <w:rPr>
          <w:sz w:val="32"/>
          <w:szCs w:val="32"/>
        </w:rPr>
        <w:t>认定单位应在收到异议申请</w:t>
      </w:r>
      <w:r>
        <w:rPr>
          <w:rFonts w:hint="eastAsia"/>
          <w:sz w:val="32"/>
          <w:szCs w:val="32"/>
        </w:rPr>
        <w:t>之日起7</w:t>
      </w:r>
      <w:r>
        <w:rPr>
          <w:sz w:val="32"/>
          <w:szCs w:val="32"/>
        </w:rPr>
        <w:t>个工作日内将核实结果书面反馈当事人。经核实不应列入名单的，</w:t>
      </w:r>
      <w:r>
        <w:rPr>
          <w:rFonts w:hint="eastAsia"/>
          <w:sz w:val="32"/>
          <w:szCs w:val="32"/>
        </w:rPr>
        <w:t>及时</w:t>
      </w:r>
      <w:r>
        <w:rPr>
          <w:sz w:val="32"/>
          <w:szCs w:val="32"/>
        </w:rPr>
        <w:t>予以</w:t>
      </w:r>
      <w:r>
        <w:rPr>
          <w:rFonts w:hint="eastAsia"/>
          <w:sz w:val="32"/>
          <w:szCs w:val="32"/>
        </w:rPr>
        <w:t>调整</w:t>
      </w:r>
      <w:r>
        <w:rPr>
          <w:sz w:val="32"/>
          <w:szCs w:val="32"/>
        </w:rPr>
        <w:t>。</w:t>
      </w:r>
    </w:p>
    <w:p>
      <w:pPr>
        <w:numPr>
          <w:ilvl w:val="255"/>
          <w:numId w:val="0"/>
        </w:numPr>
        <w:spacing w:after="0" w:line="600" w:lineRule="exact"/>
        <w:ind w:firstLine="662" w:firstLineChars="200"/>
        <w:outlineLvl w:val="1"/>
        <w:rPr>
          <w:sz w:val="32"/>
          <w:szCs w:val="32"/>
        </w:rPr>
      </w:pPr>
      <w:bookmarkStart w:id="30" w:name="_Toc1164511162"/>
      <w:bookmarkStart w:id="31" w:name="_Toc119067325"/>
      <w:bookmarkStart w:id="32" w:name="_Toc182295470"/>
      <w:r>
        <w:rPr>
          <w:b/>
          <w:bCs/>
          <w:sz w:val="32"/>
          <w:szCs w:val="32"/>
        </w:rPr>
        <w:t>第</w:t>
      </w:r>
      <w:r>
        <w:rPr>
          <w:rFonts w:hint="eastAsia"/>
          <w:b/>
          <w:bCs/>
          <w:sz w:val="32"/>
          <w:szCs w:val="32"/>
        </w:rPr>
        <w:t>十</w:t>
      </w:r>
      <w:r>
        <w:rPr>
          <w:b/>
          <w:bCs/>
          <w:sz w:val="32"/>
          <w:szCs w:val="32"/>
        </w:rPr>
        <w:t>条（认定）</w:t>
      </w:r>
      <w:bookmarkEnd w:id="30"/>
      <w:bookmarkEnd w:id="31"/>
      <w:bookmarkEnd w:id="32"/>
      <w:r>
        <w:rPr>
          <w:sz w:val="32"/>
          <w:szCs w:val="32"/>
        </w:rPr>
        <w:t>认定单位</w:t>
      </w:r>
      <w:r>
        <w:rPr>
          <w:rFonts w:hint="eastAsia"/>
          <w:sz w:val="32"/>
          <w:szCs w:val="32"/>
        </w:rPr>
        <w:t>应当在异议申诉截止之日作出列入取用水严重失信主体名单决定，并在7个工作日内向当事人送达</w:t>
      </w:r>
      <w:r>
        <w:rPr>
          <w:sz w:val="32"/>
          <w:szCs w:val="32"/>
        </w:rPr>
        <w:t>取用水严重失信主体认定决定书，</w:t>
      </w:r>
      <w:r>
        <w:rPr>
          <w:rFonts w:hint="eastAsia"/>
          <w:sz w:val="32"/>
          <w:szCs w:val="32"/>
        </w:rPr>
        <w:t>同步送达信用修复告知书。</w:t>
      </w:r>
    </w:p>
    <w:p>
      <w:pPr>
        <w:numPr>
          <w:ilvl w:val="255"/>
          <w:numId w:val="0"/>
        </w:numPr>
        <w:snapToGrid w:val="0"/>
        <w:spacing w:after="0" w:line="600" w:lineRule="exact"/>
        <w:ind w:firstLine="662" w:firstLineChars="200"/>
        <w:outlineLvl w:val="1"/>
        <w:rPr>
          <w:sz w:val="32"/>
          <w:szCs w:val="32"/>
        </w:rPr>
      </w:pPr>
      <w:bookmarkStart w:id="33" w:name="_Toc182295471"/>
      <w:bookmarkStart w:id="34" w:name="_Toc413515832"/>
      <w:bookmarkStart w:id="35" w:name="_Toc219907834"/>
      <w:r>
        <w:rPr>
          <w:b/>
          <w:bCs/>
          <w:sz w:val="32"/>
          <w:szCs w:val="32"/>
        </w:rPr>
        <w:t>第十</w:t>
      </w:r>
      <w:r>
        <w:rPr>
          <w:rFonts w:hint="eastAsia"/>
          <w:b/>
          <w:bCs/>
          <w:sz w:val="32"/>
          <w:szCs w:val="32"/>
        </w:rPr>
        <w:t>一</w:t>
      </w:r>
      <w:r>
        <w:rPr>
          <w:b/>
          <w:bCs/>
          <w:sz w:val="32"/>
          <w:szCs w:val="32"/>
        </w:rPr>
        <w:t>条（公示）</w:t>
      </w:r>
      <w:bookmarkEnd w:id="33"/>
      <w:bookmarkEnd w:id="34"/>
      <w:bookmarkEnd w:id="35"/>
      <w:r>
        <w:rPr>
          <w:sz w:val="32"/>
          <w:szCs w:val="32"/>
        </w:rPr>
        <w:t>认定单位</w:t>
      </w:r>
      <w:r>
        <w:rPr>
          <w:rFonts w:hint="eastAsia"/>
          <w:sz w:val="32"/>
          <w:szCs w:val="32"/>
        </w:rPr>
        <w:t>是流域管理机构的，</w:t>
      </w:r>
      <w:r>
        <w:rPr>
          <w:sz w:val="32"/>
          <w:szCs w:val="32"/>
        </w:rPr>
        <w:t>自作出列入取用水严重失信主体名单决定后</w:t>
      </w:r>
      <w:r>
        <w:rPr>
          <w:rFonts w:hint="eastAsia"/>
          <w:sz w:val="32"/>
          <w:szCs w:val="32"/>
        </w:rPr>
        <w:t>15</w:t>
      </w:r>
      <w:r>
        <w:rPr>
          <w:sz w:val="32"/>
          <w:szCs w:val="32"/>
        </w:rPr>
        <w:t>个工作日内，</w:t>
      </w:r>
      <w:r>
        <w:rPr>
          <w:rFonts w:hint="eastAsia"/>
          <w:sz w:val="32"/>
          <w:szCs w:val="32"/>
        </w:rPr>
        <w:t>在本部门官方网站</w:t>
      </w:r>
      <w:r>
        <w:rPr>
          <w:sz w:val="32"/>
          <w:szCs w:val="32"/>
        </w:rPr>
        <w:t>进行公示</w:t>
      </w:r>
      <w:r>
        <w:rPr>
          <w:rFonts w:hint="eastAsia"/>
          <w:sz w:val="32"/>
          <w:szCs w:val="32"/>
        </w:rPr>
        <w:t>，并</w:t>
      </w:r>
      <w:r>
        <w:rPr>
          <w:sz w:val="32"/>
          <w:szCs w:val="32"/>
        </w:rPr>
        <w:t>按程序</w:t>
      </w:r>
      <w:r>
        <w:rPr>
          <w:rFonts w:hint="eastAsia"/>
          <w:sz w:val="32"/>
          <w:szCs w:val="32"/>
        </w:rPr>
        <w:t>将名单推送至</w:t>
      </w:r>
      <w:r>
        <w:rPr>
          <w:sz w:val="32"/>
          <w:szCs w:val="32"/>
        </w:rPr>
        <w:t>“信用中国”网站。</w:t>
      </w:r>
    </w:p>
    <w:p>
      <w:pPr>
        <w:numPr>
          <w:ilvl w:val="255"/>
          <w:numId w:val="0"/>
        </w:numPr>
        <w:snapToGrid w:val="0"/>
        <w:spacing w:after="0" w:line="600" w:lineRule="exact"/>
        <w:ind w:firstLine="662" w:firstLineChars="200"/>
        <w:rPr>
          <w:sz w:val="32"/>
          <w:szCs w:val="32"/>
        </w:rPr>
      </w:pPr>
      <w:r>
        <w:rPr>
          <w:rFonts w:hint="eastAsia"/>
          <w:sz w:val="32"/>
          <w:szCs w:val="32"/>
        </w:rPr>
        <w:t>认定单位是县级以上地方人民政府</w:t>
      </w:r>
      <w:r>
        <w:rPr>
          <w:sz w:val="32"/>
          <w:szCs w:val="32"/>
        </w:rPr>
        <w:t>水行政主管部门</w:t>
      </w:r>
      <w:r>
        <w:rPr>
          <w:rFonts w:hint="eastAsia"/>
          <w:sz w:val="32"/>
          <w:szCs w:val="32"/>
        </w:rPr>
        <w:t>的，</w:t>
      </w:r>
      <w:r>
        <w:rPr>
          <w:sz w:val="32"/>
          <w:szCs w:val="32"/>
        </w:rPr>
        <w:t>自作出列入取用水严重失信主体名单决定后</w:t>
      </w:r>
      <w:r>
        <w:rPr>
          <w:rFonts w:hint="eastAsia"/>
          <w:sz w:val="32"/>
          <w:szCs w:val="32"/>
        </w:rPr>
        <w:t>5</w:t>
      </w:r>
      <w:r>
        <w:rPr>
          <w:sz w:val="32"/>
          <w:szCs w:val="32"/>
        </w:rPr>
        <w:t>个工作日内，</w:t>
      </w:r>
      <w:r>
        <w:rPr>
          <w:rFonts w:hint="eastAsia"/>
          <w:sz w:val="32"/>
          <w:szCs w:val="32"/>
        </w:rPr>
        <w:t>将认定信</w:t>
      </w:r>
      <w:r>
        <w:rPr>
          <w:sz w:val="32"/>
          <w:szCs w:val="32"/>
        </w:rPr>
        <w:t>息在本部门官方网站公示</w:t>
      </w:r>
      <w:r>
        <w:rPr>
          <w:rFonts w:hint="eastAsia"/>
          <w:sz w:val="32"/>
          <w:szCs w:val="32"/>
        </w:rPr>
        <w:t>，并</w:t>
      </w:r>
      <w:r>
        <w:rPr>
          <w:sz w:val="32"/>
          <w:szCs w:val="32"/>
        </w:rPr>
        <w:t>推送至省级水行政主管部门。省级水行政主管部门自收到认定信息之日起10个工作日内，按程序将名单</w:t>
      </w:r>
      <w:r>
        <w:rPr>
          <w:rFonts w:hint="eastAsia"/>
          <w:sz w:val="32"/>
          <w:szCs w:val="32"/>
        </w:rPr>
        <w:t>推送至</w:t>
      </w:r>
      <w:r>
        <w:rPr>
          <w:sz w:val="32"/>
          <w:szCs w:val="32"/>
        </w:rPr>
        <w:t>“信用中国”网站</w:t>
      </w:r>
      <w:r>
        <w:rPr>
          <w:rFonts w:hint="eastAsia"/>
          <w:sz w:val="32"/>
          <w:szCs w:val="32"/>
        </w:rPr>
        <w:t>。</w:t>
      </w:r>
    </w:p>
    <w:p>
      <w:pPr>
        <w:numPr>
          <w:ilvl w:val="255"/>
          <w:numId w:val="0"/>
        </w:numPr>
        <w:spacing w:after="0" w:line="600" w:lineRule="exact"/>
        <w:ind w:firstLine="662" w:firstLineChars="200"/>
        <w:rPr>
          <w:sz w:val="32"/>
          <w:szCs w:val="32"/>
        </w:rPr>
      </w:pPr>
      <w:r>
        <w:rPr>
          <w:rFonts w:hint="eastAsia"/>
          <w:sz w:val="32"/>
          <w:szCs w:val="32"/>
        </w:rPr>
        <w:t>取用水户是个人的，严重失信主体信息原则上不进行公示。</w:t>
      </w:r>
    </w:p>
    <w:p>
      <w:pPr>
        <w:numPr>
          <w:ilvl w:val="255"/>
          <w:numId w:val="0"/>
        </w:numPr>
        <w:spacing w:after="0" w:line="600" w:lineRule="exact"/>
        <w:ind w:firstLine="662" w:firstLineChars="200"/>
        <w:rPr>
          <w:sz w:val="32"/>
          <w:szCs w:val="32"/>
        </w:rPr>
      </w:pPr>
      <w:r>
        <w:rPr>
          <w:rFonts w:hint="eastAsia"/>
          <w:sz w:val="32"/>
          <w:szCs w:val="32"/>
        </w:rPr>
        <w:t>当事人</w:t>
      </w:r>
      <w:r>
        <w:rPr>
          <w:sz w:val="32"/>
          <w:szCs w:val="32"/>
        </w:rPr>
        <w:t>对被列入取用水严重失信主体名单仍有异议的，可</w:t>
      </w:r>
      <w:r>
        <w:rPr>
          <w:rFonts w:hint="eastAsia"/>
          <w:sz w:val="32"/>
          <w:szCs w:val="32"/>
        </w:rPr>
        <w:t>以</w:t>
      </w:r>
      <w:r>
        <w:rPr>
          <w:sz w:val="32"/>
          <w:szCs w:val="32"/>
        </w:rPr>
        <w:t>依法申请行政复议</w:t>
      </w:r>
      <w:r>
        <w:rPr>
          <w:rFonts w:hint="eastAsia"/>
          <w:sz w:val="32"/>
          <w:szCs w:val="32"/>
        </w:rPr>
        <w:t>或者提起行政诉讼</w:t>
      </w:r>
      <w:r>
        <w:rPr>
          <w:sz w:val="32"/>
          <w:szCs w:val="32"/>
        </w:rPr>
        <w:t>。</w:t>
      </w:r>
      <w:r>
        <w:rPr>
          <w:rFonts w:hint="eastAsia"/>
          <w:sz w:val="32"/>
          <w:szCs w:val="32"/>
        </w:rPr>
        <w:t>申请行政复议或提起行政诉讼的，相关程序终结前，除行政复议机关或人民法院认定需要停止执行的，相关信息不停止公示。</w:t>
      </w:r>
    </w:p>
    <w:p>
      <w:pPr>
        <w:snapToGrid w:val="0"/>
        <w:spacing w:after="0" w:line="600" w:lineRule="exact"/>
        <w:ind w:firstLine="662" w:firstLineChars="200"/>
        <w:outlineLvl w:val="1"/>
        <w:rPr>
          <w:sz w:val="32"/>
          <w:szCs w:val="32"/>
        </w:rPr>
      </w:pPr>
      <w:bookmarkStart w:id="36" w:name="_Toc28160900"/>
      <w:bookmarkStart w:id="37" w:name="_Toc393055159"/>
      <w:bookmarkStart w:id="38" w:name="_Toc182295474"/>
      <w:r>
        <w:rPr>
          <w:b/>
          <w:bCs/>
          <w:sz w:val="32"/>
          <w:szCs w:val="32"/>
        </w:rPr>
        <w:t>第十</w:t>
      </w:r>
      <w:r>
        <w:rPr>
          <w:rFonts w:hint="eastAsia"/>
          <w:b/>
          <w:bCs/>
          <w:sz w:val="32"/>
          <w:szCs w:val="32"/>
        </w:rPr>
        <w:t>二</w:t>
      </w:r>
      <w:r>
        <w:rPr>
          <w:b/>
          <w:bCs/>
          <w:sz w:val="32"/>
          <w:szCs w:val="32"/>
        </w:rPr>
        <w:t>条（名单</w:t>
      </w:r>
      <w:r>
        <w:rPr>
          <w:rFonts w:hint="eastAsia"/>
          <w:b/>
          <w:bCs/>
          <w:sz w:val="32"/>
          <w:szCs w:val="32"/>
        </w:rPr>
        <w:t>公示</w:t>
      </w:r>
      <w:r>
        <w:rPr>
          <w:b/>
          <w:bCs/>
          <w:sz w:val="32"/>
          <w:szCs w:val="32"/>
        </w:rPr>
        <w:t>期）</w:t>
      </w:r>
      <w:bookmarkEnd w:id="36"/>
      <w:bookmarkEnd w:id="37"/>
      <w:bookmarkEnd w:id="38"/>
      <w:r>
        <w:rPr>
          <w:sz w:val="32"/>
          <w:szCs w:val="32"/>
        </w:rPr>
        <w:t>取用水严重失信主体名单</w:t>
      </w:r>
      <w:r>
        <w:rPr>
          <w:rFonts w:hint="eastAsia"/>
          <w:sz w:val="32"/>
          <w:szCs w:val="32"/>
        </w:rPr>
        <w:t>公示期</w:t>
      </w:r>
      <w:r>
        <w:rPr>
          <w:sz w:val="32"/>
          <w:szCs w:val="32"/>
        </w:rPr>
        <w:t>为</w:t>
      </w:r>
      <w:r>
        <w:rPr>
          <w:rFonts w:hint="eastAsia"/>
          <w:sz w:val="32"/>
          <w:szCs w:val="32"/>
        </w:rPr>
        <w:t>3年。公示期自作出列入取用水严重失信主体名单决定之日</w:t>
      </w:r>
      <w:r>
        <w:rPr>
          <w:sz w:val="32"/>
          <w:szCs w:val="32"/>
        </w:rPr>
        <w:t>起开始计算。</w:t>
      </w:r>
    </w:p>
    <w:p>
      <w:pPr>
        <w:numPr>
          <w:ilvl w:val="255"/>
          <w:numId w:val="0"/>
        </w:numPr>
        <w:snapToGrid w:val="0"/>
        <w:spacing w:after="0" w:line="600" w:lineRule="exact"/>
        <w:ind w:firstLine="662" w:firstLineChars="200"/>
        <w:rPr>
          <w:sz w:val="32"/>
          <w:szCs w:val="32"/>
        </w:rPr>
      </w:pPr>
      <w:r>
        <w:rPr>
          <w:rFonts w:hint="eastAsia"/>
          <w:sz w:val="32"/>
          <w:szCs w:val="32"/>
        </w:rPr>
        <w:t>公示期届满自动停止公示</w:t>
      </w:r>
      <w:r>
        <w:rPr>
          <w:rFonts w:hint="eastAsia"/>
          <w:sz w:val="32"/>
          <w:szCs w:val="32"/>
          <w:lang w:eastAsia="zh-CN"/>
        </w:rPr>
        <w:t>，并将相关失信主体移出严重失信主体名单</w:t>
      </w:r>
      <w:r>
        <w:rPr>
          <w:rFonts w:hint="eastAsia"/>
          <w:sz w:val="32"/>
          <w:szCs w:val="32"/>
        </w:rPr>
        <w:t>。</w:t>
      </w:r>
      <w:r>
        <w:rPr>
          <w:sz w:val="32"/>
          <w:szCs w:val="32"/>
        </w:rPr>
        <w:t>对以暴力、威胁方法妨碍、抗拒履行</w:t>
      </w:r>
      <w:r>
        <w:rPr>
          <w:rFonts w:hint="eastAsia"/>
          <w:sz w:val="32"/>
          <w:szCs w:val="32"/>
        </w:rPr>
        <w:t>法律法规</w:t>
      </w:r>
      <w:r>
        <w:rPr>
          <w:sz w:val="32"/>
          <w:szCs w:val="32"/>
        </w:rPr>
        <w:t>行政处罚决定</w:t>
      </w:r>
      <w:r>
        <w:rPr>
          <w:sz w:val="32"/>
          <w:szCs w:val="32"/>
          <w:lang w:val="en"/>
        </w:rPr>
        <w:t>，</w:t>
      </w:r>
      <w:r>
        <w:rPr>
          <w:sz w:val="32"/>
          <w:szCs w:val="32"/>
        </w:rPr>
        <w:t>情节严重或者在</w:t>
      </w:r>
      <w:r>
        <w:rPr>
          <w:rFonts w:hint="eastAsia"/>
          <w:sz w:val="32"/>
          <w:szCs w:val="32"/>
        </w:rPr>
        <w:t>公示</w:t>
      </w:r>
      <w:r>
        <w:rPr>
          <w:sz w:val="32"/>
          <w:szCs w:val="32"/>
        </w:rPr>
        <w:t>期内再次发生本办法第</w:t>
      </w:r>
      <w:r>
        <w:rPr>
          <w:rFonts w:hint="eastAsia"/>
          <w:sz w:val="32"/>
          <w:szCs w:val="32"/>
        </w:rPr>
        <w:t>六</w:t>
      </w:r>
      <w:r>
        <w:rPr>
          <w:sz w:val="32"/>
          <w:szCs w:val="32"/>
        </w:rPr>
        <w:t>条规定的失信行为</w:t>
      </w:r>
      <w:r>
        <w:rPr>
          <w:rFonts w:hint="eastAsia"/>
          <w:sz w:val="32"/>
          <w:szCs w:val="32"/>
        </w:rPr>
        <w:t>之一</w:t>
      </w:r>
      <w:r>
        <w:rPr>
          <w:sz w:val="32"/>
          <w:szCs w:val="32"/>
        </w:rPr>
        <w:t>的，</w:t>
      </w:r>
      <w:r>
        <w:rPr>
          <w:rFonts w:hint="eastAsia"/>
          <w:sz w:val="32"/>
          <w:szCs w:val="32"/>
        </w:rPr>
        <w:t>公示期自出具第七条所列法律文书之日起</w:t>
      </w:r>
      <w:r>
        <w:rPr>
          <w:sz w:val="32"/>
          <w:szCs w:val="32"/>
        </w:rPr>
        <w:t>重新计算。</w:t>
      </w:r>
    </w:p>
    <w:p>
      <w:pPr>
        <w:widowControl/>
        <w:numPr>
          <w:ilvl w:val="255"/>
          <w:numId w:val="0"/>
        </w:numPr>
        <w:snapToGrid w:val="0"/>
        <w:spacing w:after="0" w:line="600" w:lineRule="exact"/>
        <w:ind w:firstLine="662" w:firstLineChars="200"/>
        <w:jc w:val="left"/>
        <w:outlineLvl w:val="1"/>
      </w:pPr>
      <w:r>
        <w:rPr>
          <w:rFonts w:hint="eastAsia"/>
          <w:b/>
          <w:bCs/>
          <w:sz w:val="32"/>
          <w:szCs w:val="32"/>
        </w:rPr>
        <w:t>第十三条（重新认定）</w:t>
      </w:r>
      <w:r>
        <w:rPr>
          <w:rFonts w:hint="eastAsia"/>
          <w:bCs/>
          <w:sz w:val="32"/>
          <w:szCs w:val="32"/>
        </w:rPr>
        <w:t>列入严重失信主体名单的依据发生变化，或者</w:t>
      </w:r>
      <w:r>
        <w:rPr>
          <w:bCs/>
          <w:sz w:val="32"/>
          <w:szCs w:val="32"/>
        </w:rPr>
        <w:t>名单认定标准发生改变</w:t>
      </w:r>
      <w:r>
        <w:rPr>
          <w:rFonts w:hint="eastAsia"/>
          <w:bCs/>
          <w:sz w:val="32"/>
          <w:szCs w:val="32"/>
        </w:rPr>
        <w:t>、</w:t>
      </w:r>
      <w:r>
        <w:rPr>
          <w:bCs/>
          <w:sz w:val="32"/>
          <w:szCs w:val="32"/>
        </w:rPr>
        <w:t>不符合新认定标准的</w:t>
      </w:r>
      <w:r>
        <w:rPr>
          <w:rFonts w:hint="eastAsia"/>
          <w:bCs/>
          <w:sz w:val="32"/>
          <w:szCs w:val="32"/>
        </w:rPr>
        <w:t>，认定单位应当在认定依据或标准发生变化后3个月内重新进行审核认定。</w:t>
      </w:r>
    </w:p>
    <w:p>
      <w:pPr>
        <w:keepNext/>
        <w:keepLines/>
        <w:numPr>
          <w:ilvl w:val="255"/>
          <w:numId w:val="0"/>
        </w:numPr>
        <w:adjustRightInd w:val="0"/>
        <w:snapToGrid w:val="0"/>
        <w:spacing w:after="0" w:line="600" w:lineRule="exact"/>
        <w:jc w:val="center"/>
        <w:outlineLvl w:val="0"/>
        <w:rPr>
          <w:rFonts w:ascii="黑体" w:hAnsi="黑体" w:eastAsia="黑体" w:cs="黑体"/>
          <w:bCs/>
          <w:kern w:val="44"/>
          <w:sz w:val="32"/>
          <w:szCs w:val="32"/>
        </w:rPr>
      </w:pPr>
      <w:bookmarkStart w:id="39" w:name="_Toc182295479"/>
      <w:bookmarkStart w:id="40" w:name="_Toc1016290873"/>
      <w:bookmarkStart w:id="41" w:name="_Toc1763284383"/>
      <w:bookmarkStart w:id="42" w:name="_Toc727649244"/>
      <w:bookmarkStart w:id="43" w:name="_Toc725010998"/>
      <w:bookmarkStart w:id="44" w:name="_Toc182295472"/>
      <w:r>
        <w:rPr>
          <w:rFonts w:ascii="黑体" w:hAnsi="黑体" w:eastAsia="黑体" w:cs="黑体"/>
          <w:bCs/>
          <w:kern w:val="44"/>
          <w:sz w:val="32"/>
          <w:szCs w:val="32"/>
        </w:rPr>
        <w:t>第</w:t>
      </w:r>
      <w:r>
        <w:rPr>
          <w:rFonts w:hint="eastAsia" w:ascii="黑体" w:hAnsi="黑体" w:eastAsia="黑体" w:cs="黑体"/>
          <w:bCs/>
          <w:kern w:val="44"/>
          <w:sz w:val="32"/>
          <w:szCs w:val="32"/>
        </w:rPr>
        <w:t>三</w:t>
      </w:r>
      <w:r>
        <w:rPr>
          <w:rFonts w:ascii="黑体" w:hAnsi="黑体" w:eastAsia="黑体" w:cs="黑体"/>
          <w:bCs/>
          <w:kern w:val="44"/>
          <w:sz w:val="32"/>
          <w:szCs w:val="32"/>
        </w:rPr>
        <w:t>章  惩戒</w:t>
      </w:r>
      <w:r>
        <w:rPr>
          <w:rFonts w:hint="eastAsia" w:ascii="黑体" w:hAnsi="黑体" w:eastAsia="黑体" w:cs="黑体"/>
          <w:bCs/>
          <w:kern w:val="44"/>
          <w:sz w:val="32"/>
          <w:szCs w:val="32"/>
        </w:rPr>
        <w:t>措施</w:t>
      </w:r>
      <w:bookmarkEnd w:id="39"/>
      <w:bookmarkEnd w:id="40"/>
      <w:bookmarkEnd w:id="41"/>
    </w:p>
    <w:p>
      <w:pPr>
        <w:widowControl/>
        <w:numPr>
          <w:ilvl w:val="255"/>
          <w:numId w:val="0"/>
        </w:numPr>
        <w:snapToGrid w:val="0"/>
        <w:spacing w:after="0" w:line="600" w:lineRule="exact"/>
        <w:ind w:firstLine="662" w:firstLineChars="200"/>
        <w:outlineLvl w:val="1"/>
        <w:rPr>
          <w:sz w:val="32"/>
          <w:szCs w:val="32"/>
        </w:rPr>
      </w:pPr>
      <w:bookmarkStart w:id="45" w:name="_Toc651424695"/>
      <w:bookmarkStart w:id="46" w:name="_Toc182295480"/>
      <w:bookmarkStart w:id="47" w:name="_Toc190678606"/>
      <w:r>
        <w:rPr>
          <w:b/>
          <w:bCs/>
          <w:sz w:val="32"/>
          <w:szCs w:val="32"/>
        </w:rPr>
        <w:t>第十</w:t>
      </w:r>
      <w:r>
        <w:rPr>
          <w:rFonts w:hint="eastAsia"/>
          <w:b/>
          <w:bCs/>
          <w:sz w:val="32"/>
          <w:szCs w:val="32"/>
        </w:rPr>
        <w:t>四</w:t>
      </w:r>
      <w:r>
        <w:rPr>
          <w:b/>
          <w:bCs/>
          <w:sz w:val="32"/>
          <w:szCs w:val="32"/>
        </w:rPr>
        <w:t>条（惩戒措施）</w:t>
      </w:r>
      <w:bookmarkEnd w:id="45"/>
      <w:bookmarkEnd w:id="46"/>
      <w:bookmarkEnd w:id="47"/>
      <w:r>
        <w:rPr>
          <w:sz w:val="32"/>
          <w:szCs w:val="32"/>
        </w:rPr>
        <w:t>流域管理机构</w:t>
      </w:r>
      <w:r>
        <w:rPr>
          <w:rFonts w:hint="eastAsia"/>
          <w:sz w:val="32"/>
          <w:szCs w:val="32"/>
        </w:rPr>
        <w:t>和各级水行政</w:t>
      </w:r>
      <w:r>
        <w:rPr>
          <w:sz w:val="32"/>
          <w:szCs w:val="32"/>
        </w:rPr>
        <w:t>主管</w:t>
      </w:r>
      <w:r>
        <w:rPr>
          <w:rFonts w:hint="eastAsia"/>
          <w:sz w:val="32"/>
          <w:szCs w:val="32"/>
        </w:rPr>
        <w:t>部门应将</w:t>
      </w:r>
      <w:r>
        <w:rPr>
          <w:sz w:val="32"/>
          <w:szCs w:val="32"/>
        </w:rPr>
        <w:t>取用水</w:t>
      </w:r>
      <w:r>
        <w:rPr>
          <w:rFonts w:hint="eastAsia"/>
          <w:sz w:val="32"/>
          <w:szCs w:val="32"/>
        </w:rPr>
        <w:t>严重失信</w:t>
      </w:r>
      <w:r>
        <w:rPr>
          <w:sz w:val="32"/>
          <w:szCs w:val="32"/>
        </w:rPr>
        <w:t>主体</w:t>
      </w:r>
      <w:r>
        <w:rPr>
          <w:rFonts w:hint="eastAsia"/>
          <w:sz w:val="32"/>
          <w:szCs w:val="32"/>
        </w:rPr>
        <w:t>列为重点监管对象，并采取下列惩戒措施：</w:t>
      </w:r>
    </w:p>
    <w:p>
      <w:pPr>
        <w:spacing w:after="0" w:line="600" w:lineRule="exact"/>
        <w:ind w:firstLine="640"/>
        <w:rPr>
          <w:sz w:val="32"/>
          <w:szCs w:val="32"/>
        </w:rPr>
      </w:pPr>
      <w:r>
        <w:rPr>
          <w:sz w:val="32"/>
          <w:szCs w:val="32"/>
        </w:rPr>
        <w:t>（</w:t>
      </w:r>
      <w:r>
        <w:rPr>
          <w:rFonts w:hint="eastAsia"/>
          <w:sz w:val="32"/>
          <w:szCs w:val="32"/>
        </w:rPr>
        <w:t>一</w:t>
      </w:r>
      <w:r>
        <w:rPr>
          <w:sz w:val="32"/>
          <w:szCs w:val="32"/>
        </w:rPr>
        <w:t>）</w:t>
      </w:r>
      <w:r>
        <w:rPr>
          <w:rFonts w:hint="eastAsia"/>
          <w:sz w:val="32"/>
          <w:szCs w:val="32"/>
        </w:rPr>
        <w:t>不得新增</w:t>
      </w:r>
      <w:r>
        <w:rPr>
          <w:sz w:val="32"/>
          <w:szCs w:val="32"/>
        </w:rPr>
        <w:t>取水许可</w:t>
      </w:r>
      <w:r>
        <w:rPr>
          <w:rFonts w:hint="eastAsia"/>
          <w:sz w:val="32"/>
          <w:szCs w:val="32"/>
        </w:rPr>
        <w:t>或转让取水权；</w:t>
      </w:r>
    </w:p>
    <w:p>
      <w:pPr>
        <w:spacing w:after="0" w:line="600" w:lineRule="exact"/>
        <w:ind w:firstLine="640"/>
        <w:rPr>
          <w:sz w:val="32"/>
          <w:szCs w:val="32"/>
        </w:rPr>
      </w:pPr>
      <w:r>
        <w:rPr>
          <w:sz w:val="32"/>
          <w:szCs w:val="32"/>
        </w:rPr>
        <w:t>（</w:t>
      </w:r>
      <w:r>
        <w:rPr>
          <w:rFonts w:hint="eastAsia"/>
          <w:sz w:val="32"/>
          <w:szCs w:val="32"/>
        </w:rPr>
        <w:t>二</w:t>
      </w:r>
      <w:r>
        <w:rPr>
          <w:sz w:val="32"/>
          <w:szCs w:val="32"/>
        </w:rPr>
        <w:t>）</w:t>
      </w:r>
      <w:r>
        <w:rPr>
          <w:rFonts w:hint="eastAsia"/>
          <w:sz w:val="32"/>
          <w:szCs w:val="32"/>
        </w:rPr>
        <w:t>限制</w:t>
      </w:r>
      <w:r>
        <w:rPr>
          <w:sz w:val="32"/>
          <w:szCs w:val="32"/>
        </w:rPr>
        <w:t>参加水利行业政府采购</w:t>
      </w:r>
      <w:r>
        <w:rPr>
          <w:rFonts w:hint="eastAsia"/>
          <w:sz w:val="32"/>
          <w:szCs w:val="32"/>
        </w:rPr>
        <w:t>、水利行业</w:t>
      </w:r>
      <w:r>
        <w:rPr>
          <w:sz w:val="32"/>
          <w:szCs w:val="32"/>
        </w:rPr>
        <w:t>政府投资项目或主要使用财政性资金项目；</w:t>
      </w:r>
    </w:p>
    <w:p>
      <w:pPr>
        <w:spacing w:after="0" w:line="600" w:lineRule="exact"/>
        <w:ind w:firstLine="640"/>
        <w:rPr>
          <w:sz w:val="32"/>
          <w:szCs w:val="32"/>
        </w:rPr>
      </w:pPr>
      <w:r>
        <w:rPr>
          <w:rFonts w:hint="eastAsia"/>
          <w:sz w:val="32"/>
          <w:szCs w:val="32"/>
        </w:rPr>
        <w:t>（三）取消参加水行政主管部门组织的评先评优和试点示范等工作资格；</w:t>
      </w:r>
    </w:p>
    <w:p>
      <w:pPr>
        <w:spacing w:after="0" w:line="600" w:lineRule="exact"/>
        <w:ind w:firstLine="640"/>
        <w:rPr>
          <w:sz w:val="32"/>
          <w:szCs w:val="32"/>
        </w:rPr>
      </w:pPr>
      <w:r>
        <w:rPr>
          <w:sz w:val="32"/>
          <w:szCs w:val="32"/>
        </w:rPr>
        <w:t>（</w:t>
      </w:r>
      <w:r>
        <w:rPr>
          <w:rFonts w:hint="eastAsia"/>
          <w:sz w:val="32"/>
          <w:szCs w:val="32"/>
        </w:rPr>
        <w:t>四</w:t>
      </w:r>
      <w:r>
        <w:rPr>
          <w:sz w:val="32"/>
          <w:szCs w:val="32"/>
        </w:rPr>
        <w:t>）不适用告知承诺制</w:t>
      </w:r>
      <w:r>
        <w:rPr>
          <w:rFonts w:hint="eastAsia"/>
          <w:sz w:val="32"/>
          <w:szCs w:val="32"/>
        </w:rPr>
        <w:t>、简化程序</w:t>
      </w:r>
      <w:r>
        <w:rPr>
          <w:sz w:val="32"/>
          <w:szCs w:val="32"/>
        </w:rPr>
        <w:t>等基于诚信的</w:t>
      </w:r>
      <w:r>
        <w:rPr>
          <w:rFonts w:hint="eastAsia"/>
          <w:sz w:val="32"/>
          <w:szCs w:val="32"/>
        </w:rPr>
        <w:t>水利</w:t>
      </w:r>
      <w:r>
        <w:rPr>
          <w:sz w:val="32"/>
          <w:szCs w:val="32"/>
        </w:rPr>
        <w:t>管理措施</w:t>
      </w:r>
      <w:r>
        <w:rPr>
          <w:rFonts w:hint="eastAsia"/>
          <w:sz w:val="32"/>
          <w:szCs w:val="32"/>
        </w:rPr>
        <w:t>；</w:t>
      </w:r>
    </w:p>
    <w:p>
      <w:pPr>
        <w:spacing w:after="0" w:line="600" w:lineRule="exact"/>
        <w:ind w:firstLine="640"/>
        <w:rPr>
          <w:sz w:val="32"/>
          <w:szCs w:val="32"/>
        </w:rPr>
      </w:pPr>
      <w:r>
        <w:rPr>
          <w:rFonts w:hint="eastAsia"/>
          <w:sz w:val="32"/>
          <w:szCs w:val="32"/>
        </w:rPr>
        <w:t>（五）向有关部门和行业协会提出取消或不得享受水资源税收优惠及免征政策资格等惩戒措施的建议；</w:t>
      </w:r>
    </w:p>
    <w:p>
      <w:pPr>
        <w:spacing w:after="0" w:line="600" w:lineRule="exact"/>
        <w:ind w:firstLine="640"/>
        <w:rPr>
          <w:rFonts w:hint="eastAsia"/>
          <w:sz w:val="32"/>
          <w:szCs w:val="32"/>
        </w:rPr>
      </w:pPr>
      <w:r>
        <w:rPr>
          <w:rFonts w:hint="eastAsia"/>
          <w:sz w:val="32"/>
          <w:szCs w:val="32"/>
        </w:rPr>
        <w:t>（六）法律法规规定可以采取的其他惩戒措施。</w:t>
      </w:r>
    </w:p>
    <w:p>
      <w:pPr>
        <w:keepNext/>
        <w:keepLines/>
        <w:numPr>
          <w:ilvl w:val="255"/>
          <w:numId w:val="0"/>
        </w:numPr>
        <w:adjustRightInd w:val="0"/>
        <w:snapToGrid w:val="0"/>
        <w:spacing w:after="0" w:line="600" w:lineRule="exact"/>
        <w:jc w:val="center"/>
        <w:outlineLvl w:val="0"/>
        <w:rPr>
          <w:rFonts w:ascii="黑体" w:hAnsi="黑体" w:eastAsia="黑体" w:cs="黑体"/>
          <w:bCs/>
          <w:kern w:val="44"/>
          <w:sz w:val="32"/>
          <w:szCs w:val="32"/>
        </w:rPr>
      </w:pPr>
      <w:r>
        <w:rPr>
          <w:rFonts w:ascii="黑体" w:hAnsi="黑体" w:eastAsia="黑体" w:cs="黑体"/>
          <w:bCs/>
          <w:kern w:val="44"/>
          <w:sz w:val="32"/>
          <w:szCs w:val="32"/>
        </w:rPr>
        <w:t>第</w:t>
      </w:r>
      <w:r>
        <w:rPr>
          <w:rFonts w:hint="eastAsia" w:ascii="黑体" w:hAnsi="黑体" w:eastAsia="黑体" w:cs="黑体"/>
          <w:bCs/>
          <w:kern w:val="44"/>
          <w:sz w:val="32"/>
          <w:szCs w:val="32"/>
        </w:rPr>
        <w:t>四</w:t>
      </w:r>
      <w:r>
        <w:rPr>
          <w:rFonts w:ascii="黑体" w:hAnsi="黑体" w:eastAsia="黑体" w:cs="黑体"/>
          <w:bCs/>
          <w:kern w:val="44"/>
          <w:sz w:val="32"/>
          <w:szCs w:val="32"/>
        </w:rPr>
        <w:t xml:space="preserve">章  </w:t>
      </w:r>
      <w:r>
        <w:rPr>
          <w:rFonts w:hint="eastAsia" w:ascii="黑体" w:hAnsi="黑体" w:eastAsia="黑体" w:cs="黑体"/>
          <w:bCs/>
          <w:kern w:val="44"/>
          <w:sz w:val="32"/>
          <w:szCs w:val="32"/>
        </w:rPr>
        <w:t>信用修复与</w:t>
      </w:r>
      <w:r>
        <w:rPr>
          <w:rFonts w:ascii="黑体" w:hAnsi="黑体" w:eastAsia="黑体" w:cs="黑体"/>
          <w:bCs/>
          <w:kern w:val="44"/>
          <w:sz w:val="32"/>
          <w:szCs w:val="32"/>
        </w:rPr>
        <w:t>名单退出</w:t>
      </w:r>
    </w:p>
    <w:p>
      <w:pPr>
        <w:numPr>
          <w:ilvl w:val="255"/>
          <w:numId w:val="0"/>
        </w:numPr>
        <w:spacing w:after="0" w:line="600" w:lineRule="exact"/>
        <w:ind w:firstLine="662" w:firstLineChars="200"/>
        <w:outlineLvl w:val="1"/>
        <w:rPr>
          <w:sz w:val="32"/>
          <w:szCs w:val="32"/>
        </w:rPr>
      </w:pPr>
      <w:r>
        <w:rPr>
          <w:rFonts w:hint="eastAsia"/>
          <w:b/>
          <w:bCs/>
          <w:sz w:val="32"/>
          <w:szCs w:val="32"/>
        </w:rPr>
        <w:t>第十</w:t>
      </w:r>
      <w:r>
        <w:rPr>
          <w:rFonts w:hint="eastAsia"/>
          <w:b/>
          <w:bCs/>
          <w:sz w:val="32"/>
          <w:szCs w:val="32"/>
          <w:lang w:eastAsia="zh-CN"/>
        </w:rPr>
        <w:t>五</w:t>
      </w:r>
      <w:r>
        <w:rPr>
          <w:rFonts w:hint="eastAsia"/>
          <w:b/>
          <w:bCs/>
          <w:sz w:val="32"/>
          <w:szCs w:val="32"/>
        </w:rPr>
        <w:t>条（修复条件）</w:t>
      </w:r>
      <w:r>
        <w:rPr>
          <w:rFonts w:hint="eastAsia"/>
          <w:sz w:val="32"/>
          <w:szCs w:val="32"/>
        </w:rPr>
        <w:t>同时满足以下条件的</w:t>
      </w:r>
      <w:r>
        <w:rPr>
          <w:sz w:val="32"/>
          <w:szCs w:val="32"/>
        </w:rPr>
        <w:t>取用水严重失信主体</w:t>
      </w:r>
      <w:r>
        <w:rPr>
          <w:rFonts w:hint="eastAsia"/>
          <w:sz w:val="32"/>
          <w:szCs w:val="32"/>
        </w:rPr>
        <w:t>，可依照本办法申请信用修复</w:t>
      </w:r>
      <w:r>
        <w:rPr>
          <w:sz w:val="32"/>
          <w:szCs w:val="32"/>
        </w:rPr>
        <w:t>，</w:t>
      </w:r>
      <w:r>
        <w:rPr>
          <w:rFonts w:hint="eastAsia"/>
          <w:sz w:val="32"/>
          <w:szCs w:val="32"/>
        </w:rPr>
        <w:t>提前</w:t>
      </w:r>
      <w:r>
        <w:rPr>
          <w:sz w:val="32"/>
          <w:szCs w:val="32"/>
        </w:rPr>
        <w:t>移出</w:t>
      </w:r>
      <w:r>
        <w:rPr>
          <w:rFonts w:hint="eastAsia"/>
          <w:sz w:val="32"/>
          <w:szCs w:val="32"/>
        </w:rPr>
        <w:t>取用水</w:t>
      </w:r>
      <w:r>
        <w:rPr>
          <w:sz w:val="32"/>
          <w:szCs w:val="32"/>
        </w:rPr>
        <w:t>严重失信主体名单</w:t>
      </w:r>
      <w:r>
        <w:rPr>
          <w:rFonts w:hint="eastAsia"/>
          <w:sz w:val="32"/>
          <w:szCs w:val="32"/>
        </w:rPr>
        <w:t>：</w:t>
      </w:r>
    </w:p>
    <w:p>
      <w:pPr>
        <w:tabs>
          <w:tab w:val="center" w:pos="4153"/>
          <w:tab w:val="right" w:pos="8306"/>
        </w:tabs>
        <w:spacing w:after="0" w:line="600" w:lineRule="exact"/>
        <w:ind w:firstLine="640"/>
        <w:rPr>
          <w:sz w:val="32"/>
          <w:szCs w:val="32"/>
        </w:rPr>
      </w:pPr>
      <w:r>
        <w:rPr>
          <w:rFonts w:hint="eastAsia"/>
          <w:sz w:val="32"/>
          <w:szCs w:val="32"/>
        </w:rPr>
        <w:t>（一）公示期满1年</w:t>
      </w:r>
      <w:r>
        <w:rPr>
          <w:sz w:val="32"/>
          <w:szCs w:val="32"/>
        </w:rPr>
        <w:t>；</w:t>
      </w:r>
    </w:p>
    <w:p>
      <w:pPr>
        <w:tabs>
          <w:tab w:val="center" w:pos="4153"/>
          <w:tab w:val="right" w:pos="8306"/>
        </w:tabs>
        <w:spacing w:after="0" w:line="600" w:lineRule="exact"/>
        <w:ind w:firstLine="640"/>
        <w:rPr>
          <w:sz w:val="32"/>
          <w:szCs w:val="32"/>
        </w:rPr>
      </w:pPr>
      <w:r>
        <w:rPr>
          <w:rFonts w:hint="eastAsia"/>
          <w:sz w:val="32"/>
          <w:szCs w:val="32"/>
        </w:rPr>
        <w:t>（二）已经</w:t>
      </w:r>
      <w:r>
        <w:rPr>
          <w:sz w:val="32"/>
          <w:szCs w:val="32"/>
        </w:rPr>
        <w:t>履行</w:t>
      </w:r>
      <w:r>
        <w:rPr>
          <w:rFonts w:hint="eastAsia"/>
          <w:sz w:val="32"/>
          <w:szCs w:val="32"/>
        </w:rPr>
        <w:t>取用水严重失信主体认定决定书中依据的司法裁判和</w:t>
      </w:r>
      <w:r>
        <w:rPr>
          <w:sz w:val="32"/>
          <w:szCs w:val="32"/>
        </w:rPr>
        <w:t>行政处罚决定规定的义务</w:t>
      </w:r>
      <w:r>
        <w:rPr>
          <w:rFonts w:hint="eastAsia"/>
          <w:sz w:val="32"/>
          <w:szCs w:val="32"/>
        </w:rPr>
        <w:t>；</w:t>
      </w:r>
    </w:p>
    <w:p>
      <w:pPr>
        <w:tabs>
          <w:tab w:val="center" w:pos="4153"/>
          <w:tab w:val="right" w:pos="8306"/>
        </w:tabs>
        <w:spacing w:after="0" w:line="600" w:lineRule="exact"/>
        <w:ind w:firstLine="640"/>
        <w:rPr>
          <w:sz w:val="32"/>
          <w:szCs w:val="32"/>
        </w:rPr>
      </w:pPr>
      <w:r>
        <w:rPr>
          <w:rFonts w:hint="eastAsia"/>
          <w:sz w:val="32"/>
          <w:szCs w:val="32"/>
        </w:rPr>
        <w:t>（三）已经</w:t>
      </w:r>
      <w:r>
        <w:rPr>
          <w:sz w:val="32"/>
          <w:szCs w:val="32"/>
        </w:rPr>
        <w:t>主动消除危害后果或者不良影响</w:t>
      </w:r>
      <w:r>
        <w:rPr>
          <w:rFonts w:hint="eastAsia"/>
          <w:sz w:val="32"/>
          <w:szCs w:val="32"/>
        </w:rPr>
        <w:t>；</w:t>
      </w:r>
    </w:p>
    <w:p>
      <w:pPr>
        <w:tabs>
          <w:tab w:val="center" w:pos="4153"/>
          <w:tab w:val="right" w:pos="8306"/>
        </w:tabs>
        <w:spacing w:after="0" w:line="600" w:lineRule="exact"/>
        <w:ind w:firstLine="640"/>
      </w:pPr>
      <w:r>
        <w:rPr>
          <w:rFonts w:hint="eastAsia"/>
          <w:sz w:val="32"/>
          <w:szCs w:val="32"/>
        </w:rPr>
        <w:t>（四）作出</w:t>
      </w:r>
      <w:r>
        <w:rPr>
          <w:sz w:val="32"/>
          <w:szCs w:val="32"/>
        </w:rPr>
        <w:t>信用承诺，承诺内容应包括所提交材料真实有效，并明确愿意承担违反承诺的相应责任</w:t>
      </w:r>
      <w:r>
        <w:rPr>
          <w:rFonts w:hint="eastAsia"/>
          <w:sz w:val="32"/>
          <w:szCs w:val="32"/>
        </w:rPr>
        <w:t>。</w:t>
      </w:r>
    </w:p>
    <w:p>
      <w:pPr>
        <w:numPr>
          <w:ilvl w:val="255"/>
          <w:numId w:val="0"/>
        </w:numPr>
        <w:snapToGrid w:val="0"/>
        <w:spacing w:after="0" w:line="600" w:lineRule="exact"/>
        <w:ind w:firstLine="662" w:firstLineChars="200"/>
        <w:outlineLvl w:val="1"/>
        <w:rPr>
          <w:sz w:val="32"/>
          <w:szCs w:val="32"/>
        </w:rPr>
      </w:pPr>
      <w:bookmarkStart w:id="48" w:name="_Toc1918987550"/>
      <w:bookmarkStart w:id="49" w:name="_Toc1441993423"/>
      <w:bookmarkStart w:id="50" w:name="_Toc182295476"/>
      <w:r>
        <w:rPr>
          <w:rFonts w:hint="eastAsia"/>
          <w:b/>
          <w:bCs/>
          <w:sz w:val="32"/>
          <w:szCs w:val="32"/>
        </w:rPr>
        <w:t>第十</w:t>
      </w:r>
      <w:r>
        <w:rPr>
          <w:rFonts w:hint="eastAsia"/>
          <w:b/>
          <w:bCs/>
          <w:sz w:val="32"/>
          <w:szCs w:val="32"/>
          <w:lang w:eastAsia="zh-CN"/>
        </w:rPr>
        <w:t>六</w:t>
      </w:r>
      <w:r>
        <w:rPr>
          <w:rFonts w:hint="eastAsia"/>
          <w:b/>
          <w:bCs/>
          <w:sz w:val="32"/>
          <w:szCs w:val="32"/>
        </w:rPr>
        <w:t>条（修复</w:t>
      </w:r>
      <w:r>
        <w:rPr>
          <w:rFonts w:hint="eastAsia" w:cs="Times New Roman"/>
          <w:b/>
          <w:bCs/>
          <w:sz w:val="32"/>
          <w:szCs w:val="32"/>
        </w:rPr>
        <w:t>申请</w:t>
      </w:r>
      <w:r>
        <w:rPr>
          <w:rFonts w:hint="eastAsia"/>
          <w:b/>
          <w:bCs/>
          <w:sz w:val="32"/>
          <w:szCs w:val="32"/>
        </w:rPr>
        <w:t>）</w:t>
      </w:r>
      <w:bookmarkEnd w:id="48"/>
      <w:bookmarkEnd w:id="49"/>
      <w:bookmarkEnd w:id="50"/>
      <w:r>
        <w:rPr>
          <w:rFonts w:hint="eastAsia"/>
          <w:sz w:val="32"/>
          <w:szCs w:val="32"/>
        </w:rPr>
        <w:t>取用水严重失信主体申请信用修复，应当按照国务院有关规定，通过“信用中国”网站提出申请，提交法定代表人或其授权经办人的身份证明材料、信用修复申请书、信用承诺书、本办法第十六条规定的相关证明材料。</w:t>
      </w:r>
    </w:p>
    <w:p>
      <w:pPr>
        <w:snapToGrid w:val="0"/>
        <w:spacing w:after="0" w:line="600" w:lineRule="exact"/>
        <w:ind w:firstLine="662" w:firstLineChars="200"/>
        <w:outlineLvl w:val="1"/>
        <w:rPr>
          <w:sz w:val="32"/>
          <w:szCs w:val="32"/>
        </w:rPr>
      </w:pPr>
      <w:bookmarkStart w:id="51" w:name="_Toc182295477"/>
      <w:bookmarkStart w:id="52" w:name="_Toc1025999726"/>
      <w:bookmarkStart w:id="53" w:name="_Toc1292509881"/>
      <w:r>
        <w:rPr>
          <w:rFonts w:cs="Times New Roman"/>
          <w:b/>
          <w:bCs/>
          <w:sz w:val="32"/>
          <w:szCs w:val="32"/>
        </w:rPr>
        <w:t>第十</w:t>
      </w:r>
      <w:r>
        <w:rPr>
          <w:rFonts w:hint="eastAsia" w:cs="Times New Roman"/>
          <w:b/>
          <w:bCs/>
          <w:sz w:val="32"/>
          <w:szCs w:val="32"/>
          <w:lang w:eastAsia="zh-CN"/>
        </w:rPr>
        <w:t>七</w:t>
      </w:r>
      <w:r>
        <w:rPr>
          <w:rFonts w:cs="Times New Roman"/>
          <w:b/>
          <w:bCs/>
          <w:sz w:val="32"/>
          <w:szCs w:val="32"/>
        </w:rPr>
        <w:t>条（</w:t>
      </w:r>
      <w:r>
        <w:rPr>
          <w:rFonts w:hint="eastAsia"/>
          <w:b/>
          <w:bCs/>
          <w:sz w:val="32"/>
          <w:szCs w:val="32"/>
        </w:rPr>
        <w:t>修复</w:t>
      </w:r>
      <w:r>
        <w:rPr>
          <w:rFonts w:cs="Times New Roman"/>
          <w:b/>
          <w:bCs/>
          <w:sz w:val="32"/>
          <w:szCs w:val="32"/>
        </w:rPr>
        <w:t>受理）</w:t>
      </w:r>
      <w:bookmarkEnd w:id="51"/>
      <w:bookmarkEnd w:id="52"/>
      <w:bookmarkEnd w:id="53"/>
      <w:r>
        <w:rPr>
          <w:rFonts w:hint="eastAsia"/>
          <w:sz w:val="32"/>
          <w:szCs w:val="32"/>
        </w:rPr>
        <w:t>流域管理机构和省级水行政主管部门自收到“信用中国”网站推送的信用修复申请之日起3个工作日内将修复材料推送至认定单位。</w:t>
      </w:r>
    </w:p>
    <w:p>
      <w:pPr>
        <w:snapToGrid w:val="0"/>
        <w:spacing w:after="0" w:line="600" w:lineRule="exact"/>
        <w:ind w:firstLine="662" w:firstLineChars="200"/>
        <w:rPr>
          <w:sz w:val="32"/>
          <w:szCs w:val="32"/>
        </w:rPr>
      </w:pPr>
      <w:r>
        <w:rPr>
          <w:rFonts w:hint="eastAsia"/>
          <w:sz w:val="32"/>
          <w:szCs w:val="32"/>
        </w:rPr>
        <w:t>认定单位应当自信用修复申请之日起3个工作日内作出是否受理的决定。申请材料齐全、符合法定形式的，应当予以受理。申请材料</w:t>
      </w:r>
      <w:r>
        <w:rPr>
          <w:sz w:val="32"/>
          <w:szCs w:val="32"/>
        </w:rPr>
        <w:t>不齐全或者不符合法定形式的，应当一次性告知</w:t>
      </w:r>
      <w:r>
        <w:rPr>
          <w:rFonts w:hint="eastAsia"/>
          <w:sz w:val="32"/>
          <w:szCs w:val="32"/>
        </w:rPr>
        <w:t>当事人</w:t>
      </w:r>
      <w:r>
        <w:rPr>
          <w:sz w:val="32"/>
          <w:szCs w:val="32"/>
        </w:rPr>
        <w:t>需要补正的材料。</w:t>
      </w:r>
      <w:r>
        <w:rPr>
          <w:rFonts w:hint="eastAsia"/>
          <w:sz w:val="32"/>
          <w:szCs w:val="32"/>
        </w:rPr>
        <w:t>决定不予受理的，应当</w:t>
      </w:r>
      <w:r>
        <w:rPr>
          <w:sz w:val="32"/>
          <w:szCs w:val="32"/>
        </w:rPr>
        <w:t>通过</w:t>
      </w:r>
      <w:r>
        <w:rPr>
          <w:rFonts w:hint="eastAsia"/>
          <w:sz w:val="32"/>
          <w:szCs w:val="32"/>
        </w:rPr>
        <w:t>“信用中国”网站告知当事人，并说明理由。</w:t>
      </w:r>
    </w:p>
    <w:p>
      <w:pPr>
        <w:numPr>
          <w:ilvl w:val="255"/>
          <w:numId w:val="0"/>
        </w:numPr>
        <w:snapToGrid w:val="0"/>
        <w:spacing w:after="0" w:line="600" w:lineRule="exact"/>
        <w:ind w:firstLine="662" w:firstLineChars="200"/>
        <w:outlineLvl w:val="1"/>
        <w:rPr>
          <w:sz w:val="32"/>
          <w:szCs w:val="32"/>
        </w:rPr>
      </w:pPr>
      <w:r>
        <w:rPr>
          <w:rFonts w:hint="eastAsia" w:cs="Times New Roman"/>
          <w:b/>
          <w:bCs/>
          <w:sz w:val="32"/>
          <w:szCs w:val="32"/>
        </w:rPr>
        <w:t>第十</w:t>
      </w:r>
      <w:r>
        <w:rPr>
          <w:rFonts w:hint="eastAsia" w:cs="Times New Roman"/>
          <w:b/>
          <w:bCs/>
          <w:sz w:val="32"/>
          <w:szCs w:val="32"/>
          <w:lang w:eastAsia="zh-CN"/>
        </w:rPr>
        <w:t>八</w:t>
      </w:r>
      <w:r>
        <w:rPr>
          <w:rFonts w:hint="eastAsia" w:cs="Times New Roman"/>
          <w:b/>
          <w:bCs/>
          <w:sz w:val="32"/>
          <w:szCs w:val="32"/>
        </w:rPr>
        <w:t>条（</w:t>
      </w:r>
      <w:r>
        <w:rPr>
          <w:rFonts w:hint="eastAsia"/>
          <w:b/>
          <w:bCs/>
          <w:sz w:val="32"/>
          <w:szCs w:val="32"/>
        </w:rPr>
        <w:t>修复</w:t>
      </w:r>
      <w:r>
        <w:rPr>
          <w:rFonts w:hint="eastAsia" w:cs="Times New Roman"/>
          <w:b/>
          <w:bCs/>
          <w:sz w:val="32"/>
          <w:szCs w:val="32"/>
        </w:rPr>
        <w:t>审核）</w:t>
      </w:r>
      <w:r>
        <w:rPr>
          <w:rFonts w:cs="Times New Roman"/>
          <w:bCs/>
          <w:sz w:val="32"/>
          <w:szCs w:val="32"/>
        </w:rPr>
        <w:t>认定单位</w:t>
      </w:r>
      <w:r>
        <w:rPr>
          <w:rFonts w:hint="eastAsia" w:cs="Times New Roman"/>
          <w:bCs/>
          <w:sz w:val="32"/>
          <w:szCs w:val="32"/>
        </w:rPr>
        <w:t>自受理信用修复</w:t>
      </w:r>
      <w:r>
        <w:rPr>
          <w:rFonts w:cs="Times New Roman"/>
          <w:bCs/>
          <w:sz w:val="32"/>
          <w:szCs w:val="32"/>
        </w:rPr>
        <w:t>申请</w:t>
      </w:r>
      <w:r>
        <w:rPr>
          <w:rFonts w:hint="eastAsia" w:cs="Times New Roman"/>
          <w:bCs/>
          <w:sz w:val="32"/>
          <w:szCs w:val="32"/>
        </w:rPr>
        <w:t>之日起</w:t>
      </w:r>
      <w:r>
        <w:rPr>
          <w:rFonts w:cs="Times New Roman"/>
          <w:bCs/>
          <w:sz w:val="32"/>
          <w:szCs w:val="32"/>
        </w:rPr>
        <w:t>7</w:t>
      </w:r>
      <w:r>
        <w:rPr>
          <w:rFonts w:hint="eastAsia" w:cs="Times New Roman"/>
          <w:bCs/>
          <w:sz w:val="32"/>
          <w:szCs w:val="32"/>
        </w:rPr>
        <w:t>个工作日内完成审核，并将</w:t>
      </w:r>
      <w:r>
        <w:rPr>
          <w:rFonts w:cs="Times New Roman"/>
          <w:bCs/>
          <w:sz w:val="32"/>
          <w:szCs w:val="32"/>
        </w:rPr>
        <w:t>修复申请审核</w:t>
      </w:r>
      <w:r>
        <w:rPr>
          <w:rFonts w:hint="eastAsia" w:cs="Times New Roman"/>
          <w:bCs/>
          <w:sz w:val="32"/>
          <w:szCs w:val="32"/>
        </w:rPr>
        <w:t>材料和信用修复结果按程序推送至“信用中国”网站。因案情复杂或需进行核查，不能在规定期限内作出办理修复决定的，可以延长</w:t>
      </w:r>
      <w:r>
        <w:rPr>
          <w:rFonts w:cs="Times New Roman"/>
          <w:bCs/>
          <w:sz w:val="32"/>
          <w:szCs w:val="32"/>
        </w:rPr>
        <w:t>10个工作日。</w:t>
      </w:r>
    </w:p>
    <w:p>
      <w:pPr>
        <w:snapToGrid w:val="0"/>
        <w:spacing w:after="0" w:line="600" w:lineRule="exact"/>
        <w:ind w:firstLine="662" w:firstLineChars="200"/>
        <w:outlineLvl w:val="1"/>
        <w:rPr>
          <w:sz w:val="32"/>
          <w:szCs w:val="32"/>
        </w:rPr>
      </w:pPr>
      <w:r>
        <w:rPr>
          <w:rFonts w:hint="eastAsia" w:cs="Times New Roman"/>
          <w:b/>
          <w:bCs/>
          <w:sz w:val="32"/>
          <w:szCs w:val="32"/>
        </w:rPr>
        <w:t>第</w:t>
      </w:r>
      <w:r>
        <w:rPr>
          <w:rFonts w:hint="eastAsia" w:cs="Times New Roman"/>
          <w:b/>
          <w:bCs/>
          <w:sz w:val="32"/>
          <w:szCs w:val="32"/>
          <w:lang w:eastAsia="zh-CN"/>
        </w:rPr>
        <w:t>十九</w:t>
      </w:r>
      <w:r>
        <w:rPr>
          <w:rFonts w:hint="eastAsia" w:cs="Times New Roman"/>
          <w:b/>
          <w:bCs/>
          <w:sz w:val="32"/>
          <w:szCs w:val="32"/>
        </w:rPr>
        <w:t>条</w:t>
      </w:r>
      <w:r>
        <w:rPr>
          <w:rFonts w:cs="Times New Roman"/>
          <w:b/>
          <w:bCs/>
          <w:sz w:val="32"/>
          <w:szCs w:val="32"/>
        </w:rPr>
        <w:t>（</w:t>
      </w:r>
      <w:r>
        <w:rPr>
          <w:rFonts w:hint="eastAsia" w:cs="Times New Roman"/>
          <w:b/>
          <w:bCs/>
          <w:sz w:val="32"/>
          <w:szCs w:val="32"/>
        </w:rPr>
        <w:t>结果反馈及名单退出</w:t>
      </w:r>
      <w:r>
        <w:rPr>
          <w:rFonts w:cs="Times New Roman"/>
          <w:b/>
          <w:bCs/>
          <w:sz w:val="32"/>
          <w:szCs w:val="32"/>
        </w:rPr>
        <w:t>）</w:t>
      </w:r>
      <w:r>
        <w:rPr>
          <w:rFonts w:hint="eastAsia"/>
          <w:sz w:val="32"/>
          <w:szCs w:val="32"/>
        </w:rPr>
        <w:t>认定单位应当通过“信用中国”网站将信用修复结果告知当事人，决定</w:t>
      </w:r>
      <w:r>
        <w:rPr>
          <w:sz w:val="32"/>
          <w:szCs w:val="32"/>
        </w:rPr>
        <w:t>不</w:t>
      </w:r>
      <w:r>
        <w:rPr>
          <w:rFonts w:hint="eastAsia"/>
          <w:sz w:val="32"/>
          <w:szCs w:val="32"/>
        </w:rPr>
        <w:t>予信用修复</w:t>
      </w:r>
      <w:r>
        <w:rPr>
          <w:sz w:val="32"/>
          <w:szCs w:val="32"/>
        </w:rPr>
        <w:t>的</w:t>
      </w:r>
      <w:r>
        <w:rPr>
          <w:rFonts w:hint="eastAsia"/>
          <w:sz w:val="32"/>
          <w:szCs w:val="32"/>
        </w:rPr>
        <w:t>应当说明理由。</w:t>
      </w:r>
    </w:p>
    <w:p>
      <w:pPr>
        <w:snapToGrid w:val="0"/>
        <w:spacing w:after="0" w:line="600" w:lineRule="exact"/>
        <w:ind w:firstLine="662" w:firstLineChars="200"/>
        <w:rPr>
          <w:sz w:val="32"/>
          <w:szCs w:val="32"/>
        </w:rPr>
      </w:pPr>
      <w:r>
        <w:rPr>
          <w:rFonts w:hint="eastAsia"/>
          <w:sz w:val="32"/>
          <w:szCs w:val="32"/>
        </w:rPr>
        <w:t>认定单位</w:t>
      </w:r>
      <w:r>
        <w:rPr>
          <w:sz w:val="32"/>
          <w:szCs w:val="32"/>
        </w:rPr>
        <w:t>官方网站</w:t>
      </w:r>
      <w:r>
        <w:rPr>
          <w:rFonts w:hint="eastAsia"/>
          <w:sz w:val="32"/>
          <w:szCs w:val="32"/>
        </w:rPr>
        <w:t>自收到修复结果之日起3个工作日内</w:t>
      </w:r>
      <w:r>
        <w:rPr>
          <w:sz w:val="32"/>
          <w:szCs w:val="32"/>
        </w:rPr>
        <w:t>终止公示</w:t>
      </w:r>
      <w:r>
        <w:rPr>
          <w:rFonts w:hint="eastAsia"/>
          <w:sz w:val="32"/>
          <w:szCs w:val="32"/>
        </w:rPr>
        <w:t>相关</w:t>
      </w:r>
      <w:r>
        <w:rPr>
          <w:sz w:val="32"/>
          <w:szCs w:val="32"/>
        </w:rPr>
        <w:t>严重失信主体信息</w:t>
      </w:r>
      <w:r>
        <w:rPr>
          <w:rFonts w:hint="eastAsia"/>
          <w:sz w:val="32"/>
          <w:szCs w:val="32"/>
        </w:rPr>
        <w:t>，解除</w:t>
      </w:r>
      <w:r>
        <w:rPr>
          <w:sz w:val="32"/>
          <w:szCs w:val="32"/>
        </w:rPr>
        <w:t>惩戒措施。</w:t>
      </w:r>
    </w:p>
    <w:p>
      <w:pPr>
        <w:widowControl/>
        <w:numPr>
          <w:ilvl w:val="255"/>
          <w:numId w:val="0"/>
        </w:numPr>
        <w:spacing w:after="0" w:line="600" w:lineRule="exact"/>
        <w:ind w:firstLine="662" w:firstLineChars="200"/>
        <w:jc w:val="left"/>
        <w:outlineLvl w:val="1"/>
        <w:rPr>
          <w:sz w:val="32"/>
          <w:szCs w:val="32"/>
        </w:rPr>
      </w:pPr>
      <w:bookmarkStart w:id="54" w:name="_Toc182295478"/>
      <w:bookmarkStart w:id="55" w:name="_Toc579351007"/>
      <w:bookmarkStart w:id="56" w:name="_Toc534601080"/>
      <w:r>
        <w:rPr>
          <w:rFonts w:cs="Times New Roman"/>
          <w:b/>
          <w:bCs/>
          <w:sz w:val="32"/>
          <w:szCs w:val="32"/>
        </w:rPr>
        <w:t>第</w:t>
      </w:r>
      <w:r>
        <w:rPr>
          <w:rFonts w:hint="eastAsia" w:cs="Times New Roman"/>
          <w:b/>
          <w:bCs/>
          <w:sz w:val="32"/>
          <w:szCs w:val="32"/>
        </w:rPr>
        <w:t>二十</w:t>
      </w:r>
      <w:r>
        <w:rPr>
          <w:rFonts w:cs="Times New Roman"/>
          <w:b/>
          <w:bCs/>
          <w:sz w:val="32"/>
          <w:szCs w:val="32"/>
        </w:rPr>
        <w:t>条（撤销移出决定）</w:t>
      </w:r>
      <w:bookmarkEnd w:id="54"/>
      <w:bookmarkEnd w:id="55"/>
      <w:bookmarkEnd w:id="56"/>
      <w:r>
        <w:rPr>
          <w:sz w:val="32"/>
          <w:szCs w:val="32"/>
        </w:rPr>
        <w:t>申请</w:t>
      </w:r>
      <w:r>
        <w:rPr>
          <w:rFonts w:hint="eastAsia"/>
          <w:sz w:val="32"/>
          <w:szCs w:val="32"/>
        </w:rPr>
        <w:t>信用</w:t>
      </w:r>
      <w:r>
        <w:rPr>
          <w:sz w:val="32"/>
          <w:szCs w:val="32"/>
        </w:rPr>
        <w:t>修复的当事人故意隐瞒真实情况、提供虚假资料，情节严重的，由认定单位撤销移出决定，恢复列入状态。</w:t>
      </w:r>
      <w:r>
        <w:rPr>
          <w:rFonts w:hint="eastAsia"/>
          <w:sz w:val="32"/>
          <w:szCs w:val="32"/>
        </w:rPr>
        <w:t>公示</w:t>
      </w:r>
      <w:r>
        <w:rPr>
          <w:sz w:val="32"/>
          <w:szCs w:val="32"/>
        </w:rPr>
        <w:t>期</w:t>
      </w:r>
      <w:r>
        <w:rPr>
          <w:rFonts w:hint="eastAsia"/>
          <w:sz w:val="32"/>
          <w:szCs w:val="32"/>
        </w:rPr>
        <w:t>自</w:t>
      </w:r>
      <w:r>
        <w:rPr>
          <w:sz w:val="32"/>
          <w:szCs w:val="32"/>
        </w:rPr>
        <w:t>撤销</w:t>
      </w:r>
      <w:r>
        <w:rPr>
          <w:rFonts w:hint="eastAsia"/>
          <w:sz w:val="32"/>
          <w:szCs w:val="32"/>
        </w:rPr>
        <w:t>移出决定</w:t>
      </w:r>
      <w:r>
        <w:rPr>
          <w:sz w:val="32"/>
          <w:szCs w:val="32"/>
        </w:rPr>
        <w:t>之日起重新计算。</w:t>
      </w:r>
    </w:p>
    <w:bookmarkEnd w:id="42"/>
    <w:bookmarkEnd w:id="43"/>
    <w:bookmarkEnd w:id="44"/>
    <w:p>
      <w:pPr>
        <w:keepNext/>
        <w:keepLines/>
        <w:numPr>
          <w:ilvl w:val="255"/>
          <w:numId w:val="0"/>
        </w:numPr>
        <w:adjustRightInd w:val="0"/>
        <w:snapToGrid w:val="0"/>
        <w:spacing w:after="0" w:line="600" w:lineRule="exact"/>
        <w:jc w:val="center"/>
        <w:outlineLvl w:val="0"/>
        <w:rPr>
          <w:rFonts w:ascii="黑体" w:hAnsi="黑体" w:eastAsia="黑体" w:cs="黑体"/>
          <w:bCs/>
          <w:kern w:val="44"/>
          <w:sz w:val="32"/>
          <w:szCs w:val="32"/>
        </w:rPr>
      </w:pPr>
      <w:bookmarkStart w:id="57" w:name="_Toc133132236"/>
      <w:bookmarkStart w:id="58" w:name="_Toc182295484"/>
      <w:bookmarkStart w:id="59" w:name="_Toc2118958776"/>
      <w:r>
        <w:rPr>
          <w:rFonts w:ascii="黑体" w:hAnsi="黑体" w:eastAsia="黑体" w:cs="黑体"/>
          <w:bCs/>
          <w:kern w:val="44"/>
          <w:sz w:val="32"/>
          <w:szCs w:val="32"/>
        </w:rPr>
        <w:t>第</w:t>
      </w:r>
      <w:r>
        <w:rPr>
          <w:rFonts w:hint="eastAsia" w:ascii="黑体" w:hAnsi="黑体" w:eastAsia="黑体" w:cs="黑体"/>
          <w:bCs/>
          <w:kern w:val="44"/>
          <w:sz w:val="32"/>
          <w:szCs w:val="32"/>
        </w:rPr>
        <w:t>五</w:t>
      </w:r>
      <w:r>
        <w:rPr>
          <w:rFonts w:ascii="黑体" w:hAnsi="黑体" w:eastAsia="黑体" w:cs="黑体"/>
          <w:bCs/>
          <w:kern w:val="44"/>
          <w:sz w:val="32"/>
          <w:szCs w:val="32"/>
        </w:rPr>
        <w:t xml:space="preserve">章  </w:t>
      </w:r>
      <w:r>
        <w:rPr>
          <w:rFonts w:hint="eastAsia" w:ascii="黑体" w:hAnsi="黑体" w:eastAsia="黑体" w:cs="黑体"/>
          <w:bCs/>
          <w:kern w:val="44"/>
          <w:sz w:val="32"/>
          <w:szCs w:val="32"/>
        </w:rPr>
        <w:t>附则</w:t>
      </w:r>
      <w:bookmarkEnd w:id="57"/>
      <w:bookmarkEnd w:id="58"/>
      <w:bookmarkEnd w:id="59"/>
    </w:p>
    <w:p>
      <w:pPr>
        <w:snapToGrid w:val="0"/>
        <w:spacing w:after="0" w:line="600" w:lineRule="exact"/>
        <w:ind w:firstLine="662" w:firstLineChars="200"/>
        <w:outlineLvl w:val="1"/>
        <w:rPr>
          <w:bCs/>
          <w:sz w:val="32"/>
          <w:szCs w:val="32"/>
        </w:rPr>
      </w:pPr>
      <w:bookmarkStart w:id="60" w:name="_Toc626543855"/>
      <w:bookmarkStart w:id="61" w:name="_Toc182295485"/>
      <w:bookmarkStart w:id="62" w:name="_Toc1561410773"/>
      <w:r>
        <w:rPr>
          <w:b/>
          <w:bCs/>
          <w:sz w:val="32"/>
          <w:szCs w:val="32"/>
        </w:rPr>
        <w:t>第二十</w:t>
      </w:r>
      <w:r>
        <w:rPr>
          <w:rFonts w:hint="eastAsia"/>
          <w:b/>
          <w:bCs/>
          <w:sz w:val="32"/>
          <w:szCs w:val="32"/>
          <w:lang w:eastAsia="zh-CN"/>
        </w:rPr>
        <w:t>一</w:t>
      </w:r>
      <w:r>
        <w:rPr>
          <w:b/>
          <w:bCs/>
          <w:sz w:val="32"/>
          <w:szCs w:val="32"/>
        </w:rPr>
        <w:t>条（法律法规另有规定的）</w:t>
      </w:r>
      <w:bookmarkEnd w:id="60"/>
      <w:bookmarkEnd w:id="61"/>
      <w:bookmarkEnd w:id="62"/>
      <w:r>
        <w:rPr>
          <w:rFonts w:hint="eastAsia"/>
          <w:bCs/>
          <w:sz w:val="32"/>
          <w:szCs w:val="32"/>
        </w:rPr>
        <w:t>法律、行政法规和党中央、国务院政策文件对严重失信主体信用修复异议申诉、</w:t>
      </w:r>
      <w:r>
        <w:rPr>
          <w:bCs/>
          <w:sz w:val="32"/>
          <w:szCs w:val="32"/>
        </w:rPr>
        <w:t>修复</w:t>
      </w:r>
      <w:r>
        <w:rPr>
          <w:rFonts w:hint="eastAsia"/>
          <w:bCs/>
          <w:sz w:val="32"/>
          <w:szCs w:val="32"/>
        </w:rPr>
        <w:t>限制、破产重整企业信用修复等另有规定的，依照其规定执行。</w:t>
      </w:r>
    </w:p>
    <w:p>
      <w:pPr>
        <w:spacing w:after="0" w:line="600" w:lineRule="exact"/>
        <w:ind w:firstLine="662" w:firstLineChars="200"/>
        <w:outlineLvl w:val="1"/>
        <w:rPr>
          <w:bCs/>
          <w:sz w:val="32"/>
          <w:szCs w:val="32"/>
        </w:rPr>
      </w:pPr>
      <w:bookmarkStart w:id="63" w:name="_Toc1973219987"/>
      <w:bookmarkStart w:id="64" w:name="_Toc1052360154"/>
      <w:bookmarkStart w:id="65" w:name="_Toc182295486"/>
      <w:r>
        <w:rPr>
          <w:rFonts w:hint="eastAsia" w:cs="黑体"/>
          <w:b/>
          <w:bCs/>
          <w:sz w:val="32"/>
          <w:szCs w:val="32"/>
        </w:rPr>
        <w:t>第二十</w:t>
      </w:r>
      <w:r>
        <w:rPr>
          <w:rFonts w:hint="eastAsia" w:cs="黑体"/>
          <w:b/>
          <w:bCs/>
          <w:sz w:val="32"/>
          <w:szCs w:val="32"/>
          <w:lang w:eastAsia="zh-CN"/>
        </w:rPr>
        <w:t>二</w:t>
      </w:r>
      <w:r>
        <w:rPr>
          <w:rFonts w:hint="eastAsia" w:cs="黑体"/>
          <w:b/>
          <w:bCs/>
          <w:sz w:val="32"/>
          <w:szCs w:val="32"/>
        </w:rPr>
        <w:t>条</w:t>
      </w:r>
      <w:r>
        <w:rPr>
          <w:rFonts w:cs="黑体"/>
          <w:b/>
          <w:bCs/>
          <w:sz w:val="32"/>
          <w:szCs w:val="32"/>
        </w:rPr>
        <w:t>（</w:t>
      </w:r>
      <w:r>
        <w:rPr>
          <w:rFonts w:hint="eastAsia" w:cs="黑体"/>
          <w:b/>
          <w:bCs/>
          <w:sz w:val="32"/>
          <w:szCs w:val="32"/>
        </w:rPr>
        <w:t>相关文书格式</w:t>
      </w:r>
      <w:r>
        <w:rPr>
          <w:rFonts w:cs="黑体"/>
          <w:b/>
          <w:bCs/>
          <w:sz w:val="32"/>
          <w:szCs w:val="32"/>
        </w:rPr>
        <w:t>）</w:t>
      </w:r>
      <w:bookmarkEnd w:id="63"/>
      <w:bookmarkEnd w:id="64"/>
      <w:bookmarkEnd w:id="65"/>
      <w:bookmarkStart w:id="66" w:name="OLE_LINK3"/>
      <w:r>
        <w:rPr>
          <w:rFonts w:hint="eastAsia"/>
          <w:bCs/>
          <w:sz w:val="32"/>
          <w:szCs w:val="32"/>
        </w:rPr>
        <w:t>《取用水严重失信主体认定告知书》《</w:t>
      </w:r>
      <w:bookmarkEnd w:id="66"/>
      <w:r>
        <w:rPr>
          <w:rFonts w:hint="eastAsia"/>
          <w:bCs/>
          <w:sz w:val="32"/>
          <w:szCs w:val="32"/>
        </w:rPr>
        <w:t>列入</w:t>
      </w:r>
      <w:bookmarkStart w:id="67" w:name="OLE_LINK5"/>
      <w:r>
        <w:rPr>
          <w:rFonts w:hint="eastAsia"/>
          <w:bCs/>
          <w:sz w:val="32"/>
          <w:szCs w:val="32"/>
        </w:rPr>
        <w:t>取用水</w:t>
      </w:r>
      <w:bookmarkEnd w:id="67"/>
      <w:r>
        <w:rPr>
          <w:rFonts w:hint="eastAsia"/>
          <w:bCs/>
          <w:sz w:val="32"/>
          <w:szCs w:val="32"/>
        </w:rPr>
        <w:t>严重失信主体名单的决定书</w:t>
      </w:r>
      <w:bookmarkStart w:id="68" w:name="OLE_LINK4"/>
      <w:r>
        <w:rPr>
          <w:rFonts w:hint="eastAsia"/>
          <w:bCs/>
          <w:sz w:val="32"/>
          <w:szCs w:val="32"/>
        </w:rPr>
        <w:t>》</w:t>
      </w:r>
      <w:bookmarkEnd w:id="68"/>
      <w:r>
        <w:rPr>
          <w:rFonts w:hint="eastAsia"/>
          <w:bCs/>
          <w:sz w:val="32"/>
          <w:szCs w:val="32"/>
        </w:rPr>
        <w:t>《信用修复告知书》《取用水严重失信主体信用修复申请书》《信用承诺书》等文书格式，由水利部另行制定。</w:t>
      </w:r>
    </w:p>
    <w:p>
      <w:pPr>
        <w:spacing w:after="0" w:line="600" w:lineRule="exact"/>
        <w:ind w:firstLine="662" w:firstLineChars="200"/>
        <w:outlineLvl w:val="1"/>
        <w:rPr>
          <w:bCs/>
          <w:sz w:val="32"/>
          <w:szCs w:val="32"/>
        </w:rPr>
      </w:pPr>
      <w:r>
        <w:rPr>
          <w:rFonts w:hint="eastAsia"/>
          <w:b/>
          <w:bCs/>
          <w:sz w:val="32"/>
          <w:szCs w:val="32"/>
        </w:rPr>
        <w:t>第二十</w:t>
      </w:r>
      <w:r>
        <w:rPr>
          <w:rFonts w:hint="eastAsia"/>
          <w:b/>
          <w:bCs/>
          <w:sz w:val="32"/>
          <w:szCs w:val="32"/>
          <w:lang w:eastAsia="zh-CN"/>
        </w:rPr>
        <w:t>三</w:t>
      </w:r>
      <w:r>
        <w:rPr>
          <w:rFonts w:hint="eastAsia"/>
          <w:b/>
          <w:bCs/>
          <w:sz w:val="32"/>
          <w:szCs w:val="32"/>
        </w:rPr>
        <w:t>条</w:t>
      </w:r>
      <w:r>
        <w:rPr>
          <w:b/>
          <w:bCs/>
          <w:sz w:val="32"/>
          <w:szCs w:val="32"/>
        </w:rPr>
        <w:t>（</w:t>
      </w:r>
      <w:r>
        <w:rPr>
          <w:rFonts w:hint="eastAsia"/>
          <w:b/>
          <w:bCs/>
          <w:sz w:val="32"/>
          <w:szCs w:val="32"/>
        </w:rPr>
        <w:t>发布机关</w:t>
      </w:r>
      <w:r>
        <w:rPr>
          <w:b/>
          <w:bCs/>
          <w:sz w:val="32"/>
          <w:szCs w:val="32"/>
        </w:rPr>
        <w:t>）</w:t>
      </w:r>
      <w:r>
        <w:rPr>
          <w:rFonts w:hint="eastAsia"/>
          <w:bCs/>
          <w:sz w:val="32"/>
          <w:szCs w:val="32"/>
        </w:rPr>
        <w:t>本办法自2026年XX月XX日起施行，由水利部发布并负责解释。</w:t>
      </w:r>
    </w:p>
    <w:p>
      <w:pPr>
        <w:pStyle w:val="12"/>
        <w:spacing w:after="160" w:line="240" w:lineRule="auto"/>
      </w:pPr>
    </w:p>
    <w:sectPr>
      <w:footerReference r:id="rId5" w:type="default"/>
      <w:pgSz w:w="11906" w:h="16838"/>
      <w:pgMar w:top="2268" w:right="1587" w:bottom="1701" w:left="1587" w:header="851" w:footer="992" w:gutter="0"/>
      <w:cols w:space="0" w:num="1"/>
      <w:docGrid w:type="linesAndChars" w:linePitch="536" w:charSpace="242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等线 Light">
    <w:altName w:val="汉仪中宋简"/>
    <w:panose1 w:val="02010600030101010101"/>
    <w:charset w:val="86"/>
    <w:family w:val="auto"/>
    <w:pitch w:val="default"/>
    <w:sig w:usb0="00000000" w:usb1="00000000" w:usb2="00000016" w:usb3="00000000" w:csb0="0004000F"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modern"/>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 w:name="Arial">
    <w:altName w:val="Nimbus Roman No9 L"/>
    <w:panose1 w:val="00000000000000000000"/>
    <w:charset w:val="00"/>
    <w:family w:val="auto"/>
    <w:pitch w:val="default"/>
    <w:sig w:usb0="00000000" w:usb1="00000000" w:usb2="00000000" w:usb3="00000000" w:csb0="0000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tabs>
        <w:tab w:val="center" w:pos="4366"/>
        <w:tab w:val="clear" w:pos="4153"/>
        <w:tab w:val="clear" w:pos="8306"/>
      </w:tabs>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7"/>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BYAAABkcnMvUEsBAhQAFAAAAAgAh07iQLNJ&#10;WO7QAAAABQEAAA8AAAAAAAAAAQAgAAAAOAAAAGRycy9kb3ducmV2LnhtbFBLAQIUABQAAAAIAIdO&#10;4kCgF26zFQIAABkEAAAOAAAAAAAAAAEAIAAAADUBAABkcnMvZTJvRG9jLnhtbFBLBQYAAAAABgAG&#10;AFkBAAC8BQAAAAA=&#10;">
              <v:fill on="f" focussize="0,0"/>
              <v:stroke on="f" weight="0.5pt"/>
              <v:imagedata o:title=""/>
              <o:lock v:ext="edit" aspectratio="f"/>
              <v:textbox inset="0mm,0mm,0mm,0mm" style="mso-fit-shape-to-text:t;">
                <w:txbxContent>
                  <w:p>
                    <w:pPr>
                      <w:pStyle w:val="17"/>
                    </w:pPr>
                    <w:r>
                      <w:fldChar w:fldCharType="begin"/>
                    </w:r>
                    <w:r>
                      <w:instrText xml:space="preserve"> PAGE  \* MERGEFORMAT </w:instrText>
                    </w:r>
                    <w:r>
                      <w:fldChar w:fldCharType="separate"/>
                    </w:r>
                    <w:r>
                      <w:t>3</w:t>
                    </w:r>
                    <w:r>
                      <w:fldChar w:fldCharType="end"/>
                    </w:r>
                  </w:p>
                </w:txbxContent>
              </v:textbox>
            </v:shape>
          </w:pict>
        </mc:Fallback>
      </mc:AlternateContent>
    </w:r>
    <w:r>
      <w:rPr>
        <w:rFonts w:hint="eastAsia"/>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trackRevisions w:val="true"/>
  <w:documentProtection w:enforcement="0"/>
  <w:defaultTabStop w:val="420"/>
  <w:drawingGridHorizontalSpacing w:val="156"/>
  <w:drawingGridVerticalSpacing w:val="268"/>
  <w:noPunctuationKerning w:val="true"/>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3525"/>
    <w:rsid w:val="000002D8"/>
    <w:rsid w:val="000006E2"/>
    <w:rsid w:val="0000454E"/>
    <w:rsid w:val="000058E6"/>
    <w:rsid w:val="00005CAF"/>
    <w:rsid w:val="00011594"/>
    <w:rsid w:val="0002621D"/>
    <w:rsid w:val="000272F7"/>
    <w:rsid w:val="000354D2"/>
    <w:rsid w:val="00035F49"/>
    <w:rsid w:val="00044296"/>
    <w:rsid w:val="00056555"/>
    <w:rsid w:val="00060C10"/>
    <w:rsid w:val="00066200"/>
    <w:rsid w:val="000674EA"/>
    <w:rsid w:val="000713AD"/>
    <w:rsid w:val="000743FA"/>
    <w:rsid w:val="00076018"/>
    <w:rsid w:val="00077C56"/>
    <w:rsid w:val="00082361"/>
    <w:rsid w:val="00082DAD"/>
    <w:rsid w:val="000867E9"/>
    <w:rsid w:val="00086E23"/>
    <w:rsid w:val="00087A66"/>
    <w:rsid w:val="000949F5"/>
    <w:rsid w:val="000A18B8"/>
    <w:rsid w:val="000A263E"/>
    <w:rsid w:val="000B357A"/>
    <w:rsid w:val="000B65AE"/>
    <w:rsid w:val="000C2F13"/>
    <w:rsid w:val="000C4501"/>
    <w:rsid w:val="000C7AB3"/>
    <w:rsid w:val="000D5F8C"/>
    <w:rsid w:val="000D7ED4"/>
    <w:rsid w:val="000E3AF8"/>
    <w:rsid w:val="000E4803"/>
    <w:rsid w:val="000E6B7C"/>
    <w:rsid w:val="000F37CE"/>
    <w:rsid w:val="000F4472"/>
    <w:rsid w:val="000F5FD8"/>
    <w:rsid w:val="001051D8"/>
    <w:rsid w:val="00110B12"/>
    <w:rsid w:val="00110C87"/>
    <w:rsid w:val="001135ED"/>
    <w:rsid w:val="00113D04"/>
    <w:rsid w:val="00116C23"/>
    <w:rsid w:val="00121A13"/>
    <w:rsid w:val="00121CDB"/>
    <w:rsid w:val="00124188"/>
    <w:rsid w:val="001326A6"/>
    <w:rsid w:val="00146B17"/>
    <w:rsid w:val="001502E4"/>
    <w:rsid w:val="0015157B"/>
    <w:rsid w:val="00157F61"/>
    <w:rsid w:val="001631D7"/>
    <w:rsid w:val="0016330E"/>
    <w:rsid w:val="00165CAE"/>
    <w:rsid w:val="00171BEC"/>
    <w:rsid w:val="00174938"/>
    <w:rsid w:val="00180F3D"/>
    <w:rsid w:val="001833AE"/>
    <w:rsid w:val="00197868"/>
    <w:rsid w:val="001A02C1"/>
    <w:rsid w:val="001A2486"/>
    <w:rsid w:val="001A3B3B"/>
    <w:rsid w:val="001A45A3"/>
    <w:rsid w:val="001A5239"/>
    <w:rsid w:val="001A5A82"/>
    <w:rsid w:val="001A6F4B"/>
    <w:rsid w:val="001B191B"/>
    <w:rsid w:val="001B44BB"/>
    <w:rsid w:val="001B5A7E"/>
    <w:rsid w:val="001D5D9D"/>
    <w:rsid w:val="001D66C9"/>
    <w:rsid w:val="001D6A4C"/>
    <w:rsid w:val="001E3FD2"/>
    <w:rsid w:val="001E6918"/>
    <w:rsid w:val="00203ABE"/>
    <w:rsid w:val="00207382"/>
    <w:rsid w:val="0020770B"/>
    <w:rsid w:val="00216D9D"/>
    <w:rsid w:val="00231A33"/>
    <w:rsid w:val="00232FDE"/>
    <w:rsid w:val="00234EA5"/>
    <w:rsid w:val="00235A89"/>
    <w:rsid w:val="00236D41"/>
    <w:rsid w:val="00241766"/>
    <w:rsid w:val="00252515"/>
    <w:rsid w:val="00261180"/>
    <w:rsid w:val="00262B6A"/>
    <w:rsid w:val="0026343E"/>
    <w:rsid w:val="0026388F"/>
    <w:rsid w:val="002662A6"/>
    <w:rsid w:val="00267A19"/>
    <w:rsid w:val="002774FE"/>
    <w:rsid w:val="002816C8"/>
    <w:rsid w:val="002828F4"/>
    <w:rsid w:val="00283E31"/>
    <w:rsid w:val="002904E2"/>
    <w:rsid w:val="00290935"/>
    <w:rsid w:val="00290C8F"/>
    <w:rsid w:val="002A1252"/>
    <w:rsid w:val="002A354D"/>
    <w:rsid w:val="002A67A2"/>
    <w:rsid w:val="002B36D1"/>
    <w:rsid w:val="002B3F2F"/>
    <w:rsid w:val="002B45AE"/>
    <w:rsid w:val="002C2C57"/>
    <w:rsid w:val="002D1AD5"/>
    <w:rsid w:val="002D37C2"/>
    <w:rsid w:val="002E3612"/>
    <w:rsid w:val="002E3C2D"/>
    <w:rsid w:val="002F2AA0"/>
    <w:rsid w:val="002F4FA7"/>
    <w:rsid w:val="002F611F"/>
    <w:rsid w:val="002F6F92"/>
    <w:rsid w:val="002F758E"/>
    <w:rsid w:val="00302D56"/>
    <w:rsid w:val="00311DC7"/>
    <w:rsid w:val="003151A0"/>
    <w:rsid w:val="003178D3"/>
    <w:rsid w:val="003269F6"/>
    <w:rsid w:val="00326EE2"/>
    <w:rsid w:val="00334D92"/>
    <w:rsid w:val="00336491"/>
    <w:rsid w:val="003377D1"/>
    <w:rsid w:val="00342E1D"/>
    <w:rsid w:val="0034420B"/>
    <w:rsid w:val="003468B4"/>
    <w:rsid w:val="003500CA"/>
    <w:rsid w:val="003531B6"/>
    <w:rsid w:val="003650AD"/>
    <w:rsid w:val="0038331E"/>
    <w:rsid w:val="0038579B"/>
    <w:rsid w:val="00390795"/>
    <w:rsid w:val="0039177E"/>
    <w:rsid w:val="003A4807"/>
    <w:rsid w:val="003A7081"/>
    <w:rsid w:val="003B085D"/>
    <w:rsid w:val="003B2488"/>
    <w:rsid w:val="003B3326"/>
    <w:rsid w:val="003B5670"/>
    <w:rsid w:val="003B6CD6"/>
    <w:rsid w:val="003C20E6"/>
    <w:rsid w:val="003C4E85"/>
    <w:rsid w:val="003C6355"/>
    <w:rsid w:val="003D290A"/>
    <w:rsid w:val="003D52DA"/>
    <w:rsid w:val="003D6E01"/>
    <w:rsid w:val="003E6120"/>
    <w:rsid w:val="003F344A"/>
    <w:rsid w:val="003F7908"/>
    <w:rsid w:val="003F7A3D"/>
    <w:rsid w:val="00401322"/>
    <w:rsid w:val="004019F8"/>
    <w:rsid w:val="004073F6"/>
    <w:rsid w:val="0041080A"/>
    <w:rsid w:val="0041543F"/>
    <w:rsid w:val="00425086"/>
    <w:rsid w:val="0042639A"/>
    <w:rsid w:val="00427245"/>
    <w:rsid w:val="00431B8C"/>
    <w:rsid w:val="00432BAD"/>
    <w:rsid w:val="004336FC"/>
    <w:rsid w:val="00433B1F"/>
    <w:rsid w:val="0044020E"/>
    <w:rsid w:val="004415DD"/>
    <w:rsid w:val="0044225B"/>
    <w:rsid w:val="00443A82"/>
    <w:rsid w:val="0045031A"/>
    <w:rsid w:val="0045646D"/>
    <w:rsid w:val="0045752F"/>
    <w:rsid w:val="0046772F"/>
    <w:rsid w:val="0047555B"/>
    <w:rsid w:val="00476B61"/>
    <w:rsid w:val="0047776D"/>
    <w:rsid w:val="004865E5"/>
    <w:rsid w:val="004923A5"/>
    <w:rsid w:val="004927DB"/>
    <w:rsid w:val="0049305D"/>
    <w:rsid w:val="00493D52"/>
    <w:rsid w:val="00497A63"/>
    <w:rsid w:val="004A07BB"/>
    <w:rsid w:val="004A0EC1"/>
    <w:rsid w:val="004A443E"/>
    <w:rsid w:val="004A76E0"/>
    <w:rsid w:val="004B32C7"/>
    <w:rsid w:val="004B43ED"/>
    <w:rsid w:val="004B4BC2"/>
    <w:rsid w:val="004C3551"/>
    <w:rsid w:val="004C53A8"/>
    <w:rsid w:val="004D0E3C"/>
    <w:rsid w:val="004D153A"/>
    <w:rsid w:val="004D7362"/>
    <w:rsid w:val="004E1677"/>
    <w:rsid w:val="004E1A75"/>
    <w:rsid w:val="004F7CAF"/>
    <w:rsid w:val="00501325"/>
    <w:rsid w:val="005028D4"/>
    <w:rsid w:val="0050562F"/>
    <w:rsid w:val="00515009"/>
    <w:rsid w:val="00523BC6"/>
    <w:rsid w:val="00525035"/>
    <w:rsid w:val="005266E3"/>
    <w:rsid w:val="00526FEA"/>
    <w:rsid w:val="00541859"/>
    <w:rsid w:val="005440B6"/>
    <w:rsid w:val="00553525"/>
    <w:rsid w:val="00553C91"/>
    <w:rsid w:val="00554D2E"/>
    <w:rsid w:val="00557DDD"/>
    <w:rsid w:val="00561535"/>
    <w:rsid w:val="005620E2"/>
    <w:rsid w:val="00570862"/>
    <w:rsid w:val="00572829"/>
    <w:rsid w:val="00580990"/>
    <w:rsid w:val="005819B1"/>
    <w:rsid w:val="00582386"/>
    <w:rsid w:val="0058471D"/>
    <w:rsid w:val="00584A5D"/>
    <w:rsid w:val="00591A7D"/>
    <w:rsid w:val="0059215E"/>
    <w:rsid w:val="0059420E"/>
    <w:rsid w:val="0059470E"/>
    <w:rsid w:val="005A3A7A"/>
    <w:rsid w:val="005B1426"/>
    <w:rsid w:val="005C0AAC"/>
    <w:rsid w:val="005D0A46"/>
    <w:rsid w:val="005E0001"/>
    <w:rsid w:val="005E0C6B"/>
    <w:rsid w:val="005F1BD4"/>
    <w:rsid w:val="005F349E"/>
    <w:rsid w:val="005F7301"/>
    <w:rsid w:val="006062F8"/>
    <w:rsid w:val="00611153"/>
    <w:rsid w:val="006129F0"/>
    <w:rsid w:val="00613477"/>
    <w:rsid w:val="00621E86"/>
    <w:rsid w:val="00623C3E"/>
    <w:rsid w:val="00624038"/>
    <w:rsid w:val="006362C1"/>
    <w:rsid w:val="00640C5A"/>
    <w:rsid w:val="0065166E"/>
    <w:rsid w:val="00652A22"/>
    <w:rsid w:val="006550D4"/>
    <w:rsid w:val="006576D1"/>
    <w:rsid w:val="00671153"/>
    <w:rsid w:val="00671F3F"/>
    <w:rsid w:val="00680E08"/>
    <w:rsid w:val="00681E59"/>
    <w:rsid w:val="00682238"/>
    <w:rsid w:val="0068342C"/>
    <w:rsid w:val="00684A51"/>
    <w:rsid w:val="00685315"/>
    <w:rsid w:val="00686346"/>
    <w:rsid w:val="006976BF"/>
    <w:rsid w:val="006C0E4A"/>
    <w:rsid w:val="006C4C78"/>
    <w:rsid w:val="006C506F"/>
    <w:rsid w:val="006C7FBE"/>
    <w:rsid w:val="006D1619"/>
    <w:rsid w:val="006D2B22"/>
    <w:rsid w:val="006D3000"/>
    <w:rsid w:val="006D527B"/>
    <w:rsid w:val="006E0C8C"/>
    <w:rsid w:val="006F0DA1"/>
    <w:rsid w:val="006F1B16"/>
    <w:rsid w:val="006F3615"/>
    <w:rsid w:val="006F554F"/>
    <w:rsid w:val="006F7730"/>
    <w:rsid w:val="00702F86"/>
    <w:rsid w:val="007052D5"/>
    <w:rsid w:val="00706079"/>
    <w:rsid w:val="007137DA"/>
    <w:rsid w:val="00716FC9"/>
    <w:rsid w:val="007179AB"/>
    <w:rsid w:val="00717FC1"/>
    <w:rsid w:val="00730DE9"/>
    <w:rsid w:val="007314BA"/>
    <w:rsid w:val="0073799C"/>
    <w:rsid w:val="00740400"/>
    <w:rsid w:val="007429DA"/>
    <w:rsid w:val="00747B41"/>
    <w:rsid w:val="00751462"/>
    <w:rsid w:val="00752E0C"/>
    <w:rsid w:val="007552EC"/>
    <w:rsid w:val="00756D60"/>
    <w:rsid w:val="00760A02"/>
    <w:rsid w:val="00762571"/>
    <w:rsid w:val="007648F1"/>
    <w:rsid w:val="00771927"/>
    <w:rsid w:val="00781310"/>
    <w:rsid w:val="00784746"/>
    <w:rsid w:val="0078512F"/>
    <w:rsid w:val="007851C5"/>
    <w:rsid w:val="00786133"/>
    <w:rsid w:val="00791358"/>
    <w:rsid w:val="007A188A"/>
    <w:rsid w:val="007A3ACC"/>
    <w:rsid w:val="007A6C9B"/>
    <w:rsid w:val="007B05B6"/>
    <w:rsid w:val="007B75BB"/>
    <w:rsid w:val="007B765F"/>
    <w:rsid w:val="007C2412"/>
    <w:rsid w:val="007C3224"/>
    <w:rsid w:val="007C64DA"/>
    <w:rsid w:val="007D0C94"/>
    <w:rsid w:val="007D44D0"/>
    <w:rsid w:val="007D6B89"/>
    <w:rsid w:val="007E16A5"/>
    <w:rsid w:val="007E2A08"/>
    <w:rsid w:val="007E66AE"/>
    <w:rsid w:val="007E6A50"/>
    <w:rsid w:val="00803141"/>
    <w:rsid w:val="008032BA"/>
    <w:rsid w:val="008055A0"/>
    <w:rsid w:val="0081003D"/>
    <w:rsid w:val="00812F77"/>
    <w:rsid w:val="008133BE"/>
    <w:rsid w:val="00813B59"/>
    <w:rsid w:val="0081603E"/>
    <w:rsid w:val="008166DA"/>
    <w:rsid w:val="00821DB3"/>
    <w:rsid w:val="0082580D"/>
    <w:rsid w:val="008265FD"/>
    <w:rsid w:val="00831B8D"/>
    <w:rsid w:val="00841172"/>
    <w:rsid w:val="00843A35"/>
    <w:rsid w:val="008571B9"/>
    <w:rsid w:val="00862B14"/>
    <w:rsid w:val="00871B12"/>
    <w:rsid w:val="008742B2"/>
    <w:rsid w:val="008747B0"/>
    <w:rsid w:val="008762C2"/>
    <w:rsid w:val="00877185"/>
    <w:rsid w:val="00877D3D"/>
    <w:rsid w:val="00880C27"/>
    <w:rsid w:val="00885F86"/>
    <w:rsid w:val="0089036E"/>
    <w:rsid w:val="0089071B"/>
    <w:rsid w:val="00893DFD"/>
    <w:rsid w:val="00896C4C"/>
    <w:rsid w:val="00897984"/>
    <w:rsid w:val="008A0C6F"/>
    <w:rsid w:val="008A0D67"/>
    <w:rsid w:val="008A57ED"/>
    <w:rsid w:val="008B0E1B"/>
    <w:rsid w:val="008B39E4"/>
    <w:rsid w:val="008B3A38"/>
    <w:rsid w:val="008B43DE"/>
    <w:rsid w:val="008B563C"/>
    <w:rsid w:val="008B5709"/>
    <w:rsid w:val="008B67B4"/>
    <w:rsid w:val="008C2CC8"/>
    <w:rsid w:val="008C6247"/>
    <w:rsid w:val="008C719A"/>
    <w:rsid w:val="008D1055"/>
    <w:rsid w:val="008D1802"/>
    <w:rsid w:val="008E02A6"/>
    <w:rsid w:val="008E1F70"/>
    <w:rsid w:val="008E4094"/>
    <w:rsid w:val="008E5A19"/>
    <w:rsid w:val="008F058F"/>
    <w:rsid w:val="008F74A6"/>
    <w:rsid w:val="009028EA"/>
    <w:rsid w:val="00906058"/>
    <w:rsid w:val="009078F8"/>
    <w:rsid w:val="00913964"/>
    <w:rsid w:val="00914ADA"/>
    <w:rsid w:val="00917F35"/>
    <w:rsid w:val="00927FDF"/>
    <w:rsid w:val="0093122E"/>
    <w:rsid w:val="00936E86"/>
    <w:rsid w:val="00941345"/>
    <w:rsid w:val="009413E9"/>
    <w:rsid w:val="00942A12"/>
    <w:rsid w:val="00945790"/>
    <w:rsid w:val="00946E69"/>
    <w:rsid w:val="00947964"/>
    <w:rsid w:val="00953DBE"/>
    <w:rsid w:val="00954776"/>
    <w:rsid w:val="00957D02"/>
    <w:rsid w:val="00960F82"/>
    <w:rsid w:val="00961AE2"/>
    <w:rsid w:val="009630D7"/>
    <w:rsid w:val="00963521"/>
    <w:rsid w:val="009638DB"/>
    <w:rsid w:val="009749B5"/>
    <w:rsid w:val="009A28CA"/>
    <w:rsid w:val="009A2B5D"/>
    <w:rsid w:val="009A2C61"/>
    <w:rsid w:val="009A5133"/>
    <w:rsid w:val="009B0327"/>
    <w:rsid w:val="009B1D19"/>
    <w:rsid w:val="009B3E06"/>
    <w:rsid w:val="009C06A2"/>
    <w:rsid w:val="009C7944"/>
    <w:rsid w:val="009D3912"/>
    <w:rsid w:val="009D578F"/>
    <w:rsid w:val="009E5A50"/>
    <w:rsid w:val="009E66E3"/>
    <w:rsid w:val="009E6857"/>
    <w:rsid w:val="009E6F07"/>
    <w:rsid w:val="009E76E8"/>
    <w:rsid w:val="00A02598"/>
    <w:rsid w:val="00A07A19"/>
    <w:rsid w:val="00A13763"/>
    <w:rsid w:val="00A13E61"/>
    <w:rsid w:val="00A13FA3"/>
    <w:rsid w:val="00A25EBC"/>
    <w:rsid w:val="00A261D1"/>
    <w:rsid w:val="00A31792"/>
    <w:rsid w:val="00A32EB5"/>
    <w:rsid w:val="00A333C8"/>
    <w:rsid w:val="00A36B9C"/>
    <w:rsid w:val="00A4387A"/>
    <w:rsid w:val="00A43A24"/>
    <w:rsid w:val="00A500A0"/>
    <w:rsid w:val="00A625C4"/>
    <w:rsid w:val="00A632A1"/>
    <w:rsid w:val="00A65ABE"/>
    <w:rsid w:val="00A6610E"/>
    <w:rsid w:val="00A83B19"/>
    <w:rsid w:val="00A84BC8"/>
    <w:rsid w:val="00A857FD"/>
    <w:rsid w:val="00A912D7"/>
    <w:rsid w:val="00A94D36"/>
    <w:rsid w:val="00A952BD"/>
    <w:rsid w:val="00A9724A"/>
    <w:rsid w:val="00AA06E5"/>
    <w:rsid w:val="00AA1EAC"/>
    <w:rsid w:val="00AA420F"/>
    <w:rsid w:val="00AA7A3F"/>
    <w:rsid w:val="00AC28B1"/>
    <w:rsid w:val="00AD3755"/>
    <w:rsid w:val="00AD5ABD"/>
    <w:rsid w:val="00AD766F"/>
    <w:rsid w:val="00AE003A"/>
    <w:rsid w:val="00AE30F2"/>
    <w:rsid w:val="00AF0336"/>
    <w:rsid w:val="00AF0C9E"/>
    <w:rsid w:val="00B0202A"/>
    <w:rsid w:val="00B04A65"/>
    <w:rsid w:val="00B1293D"/>
    <w:rsid w:val="00B25673"/>
    <w:rsid w:val="00B25DCD"/>
    <w:rsid w:val="00B31D53"/>
    <w:rsid w:val="00B33D1A"/>
    <w:rsid w:val="00B3682F"/>
    <w:rsid w:val="00B404DA"/>
    <w:rsid w:val="00B444F5"/>
    <w:rsid w:val="00B44551"/>
    <w:rsid w:val="00B44BCA"/>
    <w:rsid w:val="00B44BCB"/>
    <w:rsid w:val="00B44F26"/>
    <w:rsid w:val="00B53C96"/>
    <w:rsid w:val="00B56DA0"/>
    <w:rsid w:val="00B61CEB"/>
    <w:rsid w:val="00B62702"/>
    <w:rsid w:val="00B66623"/>
    <w:rsid w:val="00B70EF7"/>
    <w:rsid w:val="00B757CD"/>
    <w:rsid w:val="00B81110"/>
    <w:rsid w:val="00B901D7"/>
    <w:rsid w:val="00B920CA"/>
    <w:rsid w:val="00B94482"/>
    <w:rsid w:val="00B96BA9"/>
    <w:rsid w:val="00BA2205"/>
    <w:rsid w:val="00BA46E1"/>
    <w:rsid w:val="00BB3122"/>
    <w:rsid w:val="00BB3B9B"/>
    <w:rsid w:val="00BB49F9"/>
    <w:rsid w:val="00BB67EB"/>
    <w:rsid w:val="00BC0350"/>
    <w:rsid w:val="00BC51A2"/>
    <w:rsid w:val="00BD0404"/>
    <w:rsid w:val="00BD5029"/>
    <w:rsid w:val="00BD536E"/>
    <w:rsid w:val="00BE5420"/>
    <w:rsid w:val="00BE6351"/>
    <w:rsid w:val="00BE7B4E"/>
    <w:rsid w:val="00C00A98"/>
    <w:rsid w:val="00C03DC2"/>
    <w:rsid w:val="00C04715"/>
    <w:rsid w:val="00C06A7F"/>
    <w:rsid w:val="00C06D08"/>
    <w:rsid w:val="00C071FD"/>
    <w:rsid w:val="00C0737B"/>
    <w:rsid w:val="00C15EDA"/>
    <w:rsid w:val="00C2345E"/>
    <w:rsid w:val="00C31DC5"/>
    <w:rsid w:val="00C343D0"/>
    <w:rsid w:val="00C354C7"/>
    <w:rsid w:val="00C406A6"/>
    <w:rsid w:val="00C4321E"/>
    <w:rsid w:val="00C44ACD"/>
    <w:rsid w:val="00C46BA7"/>
    <w:rsid w:val="00C504E3"/>
    <w:rsid w:val="00C52E88"/>
    <w:rsid w:val="00C57D53"/>
    <w:rsid w:val="00C657BA"/>
    <w:rsid w:val="00C77431"/>
    <w:rsid w:val="00C77B46"/>
    <w:rsid w:val="00C83BF6"/>
    <w:rsid w:val="00C846D7"/>
    <w:rsid w:val="00C9010E"/>
    <w:rsid w:val="00C96020"/>
    <w:rsid w:val="00C96E46"/>
    <w:rsid w:val="00CA5686"/>
    <w:rsid w:val="00CA7F36"/>
    <w:rsid w:val="00CC0DA6"/>
    <w:rsid w:val="00CC77C7"/>
    <w:rsid w:val="00CD2C95"/>
    <w:rsid w:val="00CD5982"/>
    <w:rsid w:val="00CD612C"/>
    <w:rsid w:val="00CD7150"/>
    <w:rsid w:val="00CE3D70"/>
    <w:rsid w:val="00CE640D"/>
    <w:rsid w:val="00CE7205"/>
    <w:rsid w:val="00CF2F2A"/>
    <w:rsid w:val="00CF6B13"/>
    <w:rsid w:val="00D01EA4"/>
    <w:rsid w:val="00D03E34"/>
    <w:rsid w:val="00D14EE9"/>
    <w:rsid w:val="00D20B74"/>
    <w:rsid w:val="00D21751"/>
    <w:rsid w:val="00D21DF2"/>
    <w:rsid w:val="00D265CA"/>
    <w:rsid w:val="00D3044E"/>
    <w:rsid w:val="00D31BE3"/>
    <w:rsid w:val="00D32966"/>
    <w:rsid w:val="00D34494"/>
    <w:rsid w:val="00D41BE3"/>
    <w:rsid w:val="00D436D2"/>
    <w:rsid w:val="00D43BAC"/>
    <w:rsid w:val="00D5035C"/>
    <w:rsid w:val="00D5369E"/>
    <w:rsid w:val="00D56963"/>
    <w:rsid w:val="00D60499"/>
    <w:rsid w:val="00D67970"/>
    <w:rsid w:val="00D74C0A"/>
    <w:rsid w:val="00D80D0A"/>
    <w:rsid w:val="00D83C32"/>
    <w:rsid w:val="00D84FAF"/>
    <w:rsid w:val="00D86009"/>
    <w:rsid w:val="00D92F93"/>
    <w:rsid w:val="00D95A56"/>
    <w:rsid w:val="00D95EB4"/>
    <w:rsid w:val="00DA266C"/>
    <w:rsid w:val="00DA2B45"/>
    <w:rsid w:val="00DA2CD6"/>
    <w:rsid w:val="00DA5B12"/>
    <w:rsid w:val="00DA742F"/>
    <w:rsid w:val="00DB0B5F"/>
    <w:rsid w:val="00DB52FB"/>
    <w:rsid w:val="00DC3F7D"/>
    <w:rsid w:val="00DC487E"/>
    <w:rsid w:val="00DC61E6"/>
    <w:rsid w:val="00DC7AF2"/>
    <w:rsid w:val="00DD057E"/>
    <w:rsid w:val="00DD2849"/>
    <w:rsid w:val="00DD5765"/>
    <w:rsid w:val="00DE05E9"/>
    <w:rsid w:val="00DE220D"/>
    <w:rsid w:val="00DE29EA"/>
    <w:rsid w:val="00DF10A7"/>
    <w:rsid w:val="00DF2170"/>
    <w:rsid w:val="00E0029C"/>
    <w:rsid w:val="00E010E7"/>
    <w:rsid w:val="00E03193"/>
    <w:rsid w:val="00E059FA"/>
    <w:rsid w:val="00E1373E"/>
    <w:rsid w:val="00E143FF"/>
    <w:rsid w:val="00E14B39"/>
    <w:rsid w:val="00E17051"/>
    <w:rsid w:val="00E207D5"/>
    <w:rsid w:val="00E267EB"/>
    <w:rsid w:val="00E27EC4"/>
    <w:rsid w:val="00E32C62"/>
    <w:rsid w:val="00E33498"/>
    <w:rsid w:val="00E366E0"/>
    <w:rsid w:val="00E40FDB"/>
    <w:rsid w:val="00E418D5"/>
    <w:rsid w:val="00E4438D"/>
    <w:rsid w:val="00E56AE0"/>
    <w:rsid w:val="00E6694B"/>
    <w:rsid w:val="00E67C1C"/>
    <w:rsid w:val="00E70853"/>
    <w:rsid w:val="00E72971"/>
    <w:rsid w:val="00E73AEC"/>
    <w:rsid w:val="00E766F1"/>
    <w:rsid w:val="00E76F87"/>
    <w:rsid w:val="00E9369C"/>
    <w:rsid w:val="00EA10AB"/>
    <w:rsid w:val="00EA4FEB"/>
    <w:rsid w:val="00EB12B1"/>
    <w:rsid w:val="00EB60B2"/>
    <w:rsid w:val="00EB64E2"/>
    <w:rsid w:val="00EC4DED"/>
    <w:rsid w:val="00EC6870"/>
    <w:rsid w:val="00EC7323"/>
    <w:rsid w:val="00ED78CF"/>
    <w:rsid w:val="00EE25D6"/>
    <w:rsid w:val="00EE5880"/>
    <w:rsid w:val="00EE7D30"/>
    <w:rsid w:val="00EF0779"/>
    <w:rsid w:val="00EF0833"/>
    <w:rsid w:val="00EF1090"/>
    <w:rsid w:val="00EF3EA4"/>
    <w:rsid w:val="00F00905"/>
    <w:rsid w:val="00F00B54"/>
    <w:rsid w:val="00F02837"/>
    <w:rsid w:val="00F0732C"/>
    <w:rsid w:val="00F07EC9"/>
    <w:rsid w:val="00F104BE"/>
    <w:rsid w:val="00F14438"/>
    <w:rsid w:val="00F1521C"/>
    <w:rsid w:val="00F152EE"/>
    <w:rsid w:val="00F22714"/>
    <w:rsid w:val="00F246B3"/>
    <w:rsid w:val="00F31EEB"/>
    <w:rsid w:val="00F3674F"/>
    <w:rsid w:val="00F36E71"/>
    <w:rsid w:val="00F41033"/>
    <w:rsid w:val="00F41FE3"/>
    <w:rsid w:val="00F51E92"/>
    <w:rsid w:val="00F52DA2"/>
    <w:rsid w:val="00F55058"/>
    <w:rsid w:val="00F6338D"/>
    <w:rsid w:val="00F66686"/>
    <w:rsid w:val="00F7396D"/>
    <w:rsid w:val="00F803B7"/>
    <w:rsid w:val="00F81CD0"/>
    <w:rsid w:val="00F85246"/>
    <w:rsid w:val="00F93E61"/>
    <w:rsid w:val="00F97FC2"/>
    <w:rsid w:val="00FA04A0"/>
    <w:rsid w:val="00FA0D8E"/>
    <w:rsid w:val="00FB20C1"/>
    <w:rsid w:val="00FB7892"/>
    <w:rsid w:val="00FD186F"/>
    <w:rsid w:val="00FD5522"/>
    <w:rsid w:val="00FE0143"/>
    <w:rsid w:val="00FE1FC2"/>
    <w:rsid w:val="00FE4819"/>
    <w:rsid w:val="00FE549A"/>
    <w:rsid w:val="00FF5113"/>
    <w:rsid w:val="00FF6E53"/>
    <w:rsid w:val="01017684"/>
    <w:rsid w:val="01467B44"/>
    <w:rsid w:val="017D4FEE"/>
    <w:rsid w:val="018A1427"/>
    <w:rsid w:val="018C374F"/>
    <w:rsid w:val="01C832C9"/>
    <w:rsid w:val="020C0D2B"/>
    <w:rsid w:val="022D3688"/>
    <w:rsid w:val="02FD5672"/>
    <w:rsid w:val="035E4919"/>
    <w:rsid w:val="03A16B7C"/>
    <w:rsid w:val="03B5569F"/>
    <w:rsid w:val="03BBC5EA"/>
    <w:rsid w:val="04463D2B"/>
    <w:rsid w:val="04EC325D"/>
    <w:rsid w:val="05C72C4A"/>
    <w:rsid w:val="05E11832"/>
    <w:rsid w:val="05EF03F3"/>
    <w:rsid w:val="06693D01"/>
    <w:rsid w:val="06AF2B18"/>
    <w:rsid w:val="06B9EB38"/>
    <w:rsid w:val="07370304"/>
    <w:rsid w:val="07585B24"/>
    <w:rsid w:val="07630D7A"/>
    <w:rsid w:val="078800DB"/>
    <w:rsid w:val="07B7CE4D"/>
    <w:rsid w:val="08055CAB"/>
    <w:rsid w:val="085B3EC7"/>
    <w:rsid w:val="08945871"/>
    <w:rsid w:val="08C30964"/>
    <w:rsid w:val="08CC3F89"/>
    <w:rsid w:val="09507B5E"/>
    <w:rsid w:val="097D0541"/>
    <w:rsid w:val="09AA455D"/>
    <w:rsid w:val="09B55640"/>
    <w:rsid w:val="09BB88CA"/>
    <w:rsid w:val="0A5B7E05"/>
    <w:rsid w:val="0A966E7D"/>
    <w:rsid w:val="0ADC06B0"/>
    <w:rsid w:val="0C567D49"/>
    <w:rsid w:val="0C5719E5"/>
    <w:rsid w:val="0C5B102E"/>
    <w:rsid w:val="0C910075"/>
    <w:rsid w:val="0CF72B0B"/>
    <w:rsid w:val="0D0504FC"/>
    <w:rsid w:val="0D3F3A43"/>
    <w:rsid w:val="0D5275AC"/>
    <w:rsid w:val="0DBFDD37"/>
    <w:rsid w:val="0E1B0D7B"/>
    <w:rsid w:val="0E6F0399"/>
    <w:rsid w:val="0E7F9E3D"/>
    <w:rsid w:val="0EB411C4"/>
    <w:rsid w:val="0EDE5F4C"/>
    <w:rsid w:val="0F2904D1"/>
    <w:rsid w:val="0F522633"/>
    <w:rsid w:val="0F759935"/>
    <w:rsid w:val="0F764140"/>
    <w:rsid w:val="0F903364"/>
    <w:rsid w:val="0FA708D2"/>
    <w:rsid w:val="0FB769C8"/>
    <w:rsid w:val="0FDF1F0D"/>
    <w:rsid w:val="0FE8C0CA"/>
    <w:rsid w:val="0FFA69C9"/>
    <w:rsid w:val="10C72BB8"/>
    <w:rsid w:val="10DF9BA6"/>
    <w:rsid w:val="10E02E12"/>
    <w:rsid w:val="1111121D"/>
    <w:rsid w:val="11A622AD"/>
    <w:rsid w:val="124F3540"/>
    <w:rsid w:val="12D15280"/>
    <w:rsid w:val="12EA61CA"/>
    <w:rsid w:val="12EF7880"/>
    <w:rsid w:val="13914865"/>
    <w:rsid w:val="13A50343"/>
    <w:rsid w:val="13FE63F8"/>
    <w:rsid w:val="14116861"/>
    <w:rsid w:val="158F3058"/>
    <w:rsid w:val="15DFCEAE"/>
    <w:rsid w:val="15E769F0"/>
    <w:rsid w:val="164057CB"/>
    <w:rsid w:val="16A36DBB"/>
    <w:rsid w:val="173F646B"/>
    <w:rsid w:val="173F7C35"/>
    <w:rsid w:val="17543746"/>
    <w:rsid w:val="1766B3C5"/>
    <w:rsid w:val="17C247F3"/>
    <w:rsid w:val="17C90AA4"/>
    <w:rsid w:val="17D20235"/>
    <w:rsid w:val="17D7DE01"/>
    <w:rsid w:val="18133C2B"/>
    <w:rsid w:val="182C1032"/>
    <w:rsid w:val="188416E8"/>
    <w:rsid w:val="195770F5"/>
    <w:rsid w:val="197F7EC8"/>
    <w:rsid w:val="1A467E99"/>
    <w:rsid w:val="1A512F8F"/>
    <w:rsid w:val="1A5B3530"/>
    <w:rsid w:val="1A6479A0"/>
    <w:rsid w:val="1A76328F"/>
    <w:rsid w:val="1B1E72E5"/>
    <w:rsid w:val="1B6E71EC"/>
    <w:rsid w:val="1B9D6050"/>
    <w:rsid w:val="1BBC5F71"/>
    <w:rsid w:val="1BFE281E"/>
    <w:rsid w:val="1C497AA3"/>
    <w:rsid w:val="1CDEE09E"/>
    <w:rsid w:val="1CF157B8"/>
    <w:rsid w:val="1D54BF8F"/>
    <w:rsid w:val="1D971773"/>
    <w:rsid w:val="1DA62333"/>
    <w:rsid w:val="1DD935A5"/>
    <w:rsid w:val="1E25455A"/>
    <w:rsid w:val="1E5E05C5"/>
    <w:rsid w:val="1EB8A3E6"/>
    <w:rsid w:val="1EBD2501"/>
    <w:rsid w:val="1EDE8DB2"/>
    <w:rsid w:val="1EE3AE59"/>
    <w:rsid w:val="1EF758C8"/>
    <w:rsid w:val="1EFD4A29"/>
    <w:rsid w:val="1EFD5030"/>
    <w:rsid w:val="1EFE3BD6"/>
    <w:rsid w:val="1F5A3435"/>
    <w:rsid w:val="1F6FB3AF"/>
    <w:rsid w:val="1F75B89D"/>
    <w:rsid w:val="1FC868E3"/>
    <w:rsid w:val="1FCF3AAE"/>
    <w:rsid w:val="1FD5582B"/>
    <w:rsid w:val="1FD7DE05"/>
    <w:rsid w:val="1FDE7FEB"/>
    <w:rsid w:val="1FFEABD8"/>
    <w:rsid w:val="1FFF0CC7"/>
    <w:rsid w:val="20D81D57"/>
    <w:rsid w:val="215E19E0"/>
    <w:rsid w:val="21757368"/>
    <w:rsid w:val="224A0A33"/>
    <w:rsid w:val="22537F1C"/>
    <w:rsid w:val="22A54D9C"/>
    <w:rsid w:val="22F43521"/>
    <w:rsid w:val="23290648"/>
    <w:rsid w:val="233B0AE5"/>
    <w:rsid w:val="239B447E"/>
    <w:rsid w:val="23BF1473"/>
    <w:rsid w:val="23CF94FC"/>
    <w:rsid w:val="24DF2941"/>
    <w:rsid w:val="24E30CCB"/>
    <w:rsid w:val="254A2AF8"/>
    <w:rsid w:val="254E25E8"/>
    <w:rsid w:val="258B1155"/>
    <w:rsid w:val="25966DB0"/>
    <w:rsid w:val="2597EFA7"/>
    <w:rsid w:val="25D9414E"/>
    <w:rsid w:val="25F54FBD"/>
    <w:rsid w:val="26F520CF"/>
    <w:rsid w:val="275E73B1"/>
    <w:rsid w:val="278A18D2"/>
    <w:rsid w:val="27AFA48B"/>
    <w:rsid w:val="27B54BA0"/>
    <w:rsid w:val="27F3971F"/>
    <w:rsid w:val="27FF7592"/>
    <w:rsid w:val="28356C35"/>
    <w:rsid w:val="28934FD7"/>
    <w:rsid w:val="28C64919"/>
    <w:rsid w:val="294B61F2"/>
    <w:rsid w:val="29E007A8"/>
    <w:rsid w:val="29F21F22"/>
    <w:rsid w:val="2A25002F"/>
    <w:rsid w:val="2A7445E5"/>
    <w:rsid w:val="2A8C054C"/>
    <w:rsid w:val="2AF84251"/>
    <w:rsid w:val="2B936FA7"/>
    <w:rsid w:val="2BB00A03"/>
    <w:rsid w:val="2BFB4B7E"/>
    <w:rsid w:val="2BFD08EA"/>
    <w:rsid w:val="2C0E10F8"/>
    <w:rsid w:val="2C483264"/>
    <w:rsid w:val="2C7D0233"/>
    <w:rsid w:val="2C816689"/>
    <w:rsid w:val="2CA11824"/>
    <w:rsid w:val="2CAA76C2"/>
    <w:rsid w:val="2D1A3B0B"/>
    <w:rsid w:val="2D4A5D8B"/>
    <w:rsid w:val="2D5B1D46"/>
    <w:rsid w:val="2D8F41B1"/>
    <w:rsid w:val="2DB2244B"/>
    <w:rsid w:val="2DCC67A0"/>
    <w:rsid w:val="2DFEDD54"/>
    <w:rsid w:val="2E6FDC10"/>
    <w:rsid w:val="2E944F06"/>
    <w:rsid w:val="2EEE0DD5"/>
    <w:rsid w:val="2EEE1DEC"/>
    <w:rsid w:val="2F1A907E"/>
    <w:rsid w:val="2F3E547B"/>
    <w:rsid w:val="2F9C7272"/>
    <w:rsid w:val="2FA736E3"/>
    <w:rsid w:val="2FA7EF2B"/>
    <w:rsid w:val="2FBD16C1"/>
    <w:rsid w:val="2FDE4EC0"/>
    <w:rsid w:val="2FDF3D7B"/>
    <w:rsid w:val="2FFBB2AF"/>
    <w:rsid w:val="2FFF706D"/>
    <w:rsid w:val="30534F57"/>
    <w:rsid w:val="305B0B6C"/>
    <w:rsid w:val="30AB6B41"/>
    <w:rsid w:val="30B5414F"/>
    <w:rsid w:val="31756E90"/>
    <w:rsid w:val="31EEFA1A"/>
    <w:rsid w:val="331C1F78"/>
    <w:rsid w:val="3375359D"/>
    <w:rsid w:val="33B019CE"/>
    <w:rsid w:val="33CD5020"/>
    <w:rsid w:val="33FD9C09"/>
    <w:rsid w:val="34AF2CC3"/>
    <w:rsid w:val="34E16FD5"/>
    <w:rsid w:val="34EB21BE"/>
    <w:rsid w:val="356E87C4"/>
    <w:rsid w:val="35CFD334"/>
    <w:rsid w:val="35D6333D"/>
    <w:rsid w:val="35E46651"/>
    <w:rsid w:val="35E5FD92"/>
    <w:rsid w:val="35FD88B8"/>
    <w:rsid w:val="36194414"/>
    <w:rsid w:val="36211653"/>
    <w:rsid w:val="36F51E0A"/>
    <w:rsid w:val="36F53708"/>
    <w:rsid w:val="372D6DCB"/>
    <w:rsid w:val="373FE20B"/>
    <w:rsid w:val="374B2837"/>
    <w:rsid w:val="37B57031"/>
    <w:rsid w:val="37D49D9E"/>
    <w:rsid w:val="37F788B6"/>
    <w:rsid w:val="37FE5C67"/>
    <w:rsid w:val="37FF7E6E"/>
    <w:rsid w:val="38280F16"/>
    <w:rsid w:val="38571B06"/>
    <w:rsid w:val="38A6346D"/>
    <w:rsid w:val="38C33170"/>
    <w:rsid w:val="38F87B2C"/>
    <w:rsid w:val="397E691D"/>
    <w:rsid w:val="397FF9C9"/>
    <w:rsid w:val="399FAC80"/>
    <w:rsid w:val="39A95BE7"/>
    <w:rsid w:val="39DC3413"/>
    <w:rsid w:val="3A726921"/>
    <w:rsid w:val="3A9B2306"/>
    <w:rsid w:val="3AC2359E"/>
    <w:rsid w:val="3AD13648"/>
    <w:rsid w:val="3AE648AC"/>
    <w:rsid w:val="3AE74A8E"/>
    <w:rsid w:val="3B4DE93D"/>
    <w:rsid w:val="3B7B8EF4"/>
    <w:rsid w:val="3B7C9212"/>
    <w:rsid w:val="3B7E7B2D"/>
    <w:rsid w:val="3B7EB917"/>
    <w:rsid w:val="3BD66EC9"/>
    <w:rsid w:val="3BE3ED96"/>
    <w:rsid w:val="3BE6318C"/>
    <w:rsid w:val="3BEF59D9"/>
    <w:rsid w:val="3BF6F24D"/>
    <w:rsid w:val="3C703755"/>
    <w:rsid w:val="3CE326D0"/>
    <w:rsid w:val="3D0870C9"/>
    <w:rsid w:val="3D5D33D1"/>
    <w:rsid w:val="3D5FC793"/>
    <w:rsid w:val="3DAE7C70"/>
    <w:rsid w:val="3DB80444"/>
    <w:rsid w:val="3DBFC1EB"/>
    <w:rsid w:val="3DDE77A8"/>
    <w:rsid w:val="3DDEE91E"/>
    <w:rsid w:val="3DED893D"/>
    <w:rsid w:val="3DF3D74A"/>
    <w:rsid w:val="3DFE9FEE"/>
    <w:rsid w:val="3DFEB454"/>
    <w:rsid w:val="3DFF706B"/>
    <w:rsid w:val="3E7F5B19"/>
    <w:rsid w:val="3E7FE90D"/>
    <w:rsid w:val="3E9C3F6D"/>
    <w:rsid w:val="3EAB0813"/>
    <w:rsid w:val="3ECA6BB4"/>
    <w:rsid w:val="3EDF3C2B"/>
    <w:rsid w:val="3EED7140"/>
    <w:rsid w:val="3F3739FE"/>
    <w:rsid w:val="3F577E93"/>
    <w:rsid w:val="3F71D782"/>
    <w:rsid w:val="3F9F01AA"/>
    <w:rsid w:val="3F9F5717"/>
    <w:rsid w:val="3FAF4C0A"/>
    <w:rsid w:val="3FB94B8A"/>
    <w:rsid w:val="3FBF62B3"/>
    <w:rsid w:val="3FC62D66"/>
    <w:rsid w:val="3FD710A0"/>
    <w:rsid w:val="3FDDF02D"/>
    <w:rsid w:val="3FDF5169"/>
    <w:rsid w:val="3FE858C4"/>
    <w:rsid w:val="3FEA6A9F"/>
    <w:rsid w:val="3FED5EDC"/>
    <w:rsid w:val="3FED9AC2"/>
    <w:rsid w:val="3FF12627"/>
    <w:rsid w:val="3FF5CD10"/>
    <w:rsid w:val="3FF685E9"/>
    <w:rsid w:val="3FFAEFA8"/>
    <w:rsid w:val="3FFB518F"/>
    <w:rsid w:val="3FFF047E"/>
    <w:rsid w:val="3FFF5786"/>
    <w:rsid w:val="3FFFB0F6"/>
    <w:rsid w:val="401E2E70"/>
    <w:rsid w:val="402E533E"/>
    <w:rsid w:val="407B25B1"/>
    <w:rsid w:val="407F1695"/>
    <w:rsid w:val="40945831"/>
    <w:rsid w:val="40E94592"/>
    <w:rsid w:val="40F57FBD"/>
    <w:rsid w:val="40FF83B4"/>
    <w:rsid w:val="41545FCF"/>
    <w:rsid w:val="41C17BF0"/>
    <w:rsid w:val="41C4412D"/>
    <w:rsid w:val="423F43F2"/>
    <w:rsid w:val="425132C0"/>
    <w:rsid w:val="43317596"/>
    <w:rsid w:val="43452CD2"/>
    <w:rsid w:val="435412BA"/>
    <w:rsid w:val="43560D61"/>
    <w:rsid w:val="43683C1E"/>
    <w:rsid w:val="43802CF5"/>
    <w:rsid w:val="43E6DD9F"/>
    <w:rsid w:val="43FE365B"/>
    <w:rsid w:val="444936BF"/>
    <w:rsid w:val="44B45A78"/>
    <w:rsid w:val="44F52628"/>
    <w:rsid w:val="44F81FD7"/>
    <w:rsid w:val="458E05D7"/>
    <w:rsid w:val="4696EA75"/>
    <w:rsid w:val="46BE00F3"/>
    <w:rsid w:val="472A4FBB"/>
    <w:rsid w:val="47BF039C"/>
    <w:rsid w:val="47FF438D"/>
    <w:rsid w:val="481B4154"/>
    <w:rsid w:val="48E57BDB"/>
    <w:rsid w:val="48E83693"/>
    <w:rsid w:val="49BF98DF"/>
    <w:rsid w:val="4A0C514D"/>
    <w:rsid w:val="4A4060F4"/>
    <w:rsid w:val="4ADB0DD7"/>
    <w:rsid w:val="4AED72D0"/>
    <w:rsid w:val="4B0C3FCB"/>
    <w:rsid w:val="4B104368"/>
    <w:rsid w:val="4B3F3A7A"/>
    <w:rsid w:val="4B77285C"/>
    <w:rsid w:val="4B7FD76E"/>
    <w:rsid w:val="4B953E9E"/>
    <w:rsid w:val="4B9C1C1A"/>
    <w:rsid w:val="4BD12AA3"/>
    <w:rsid w:val="4BDFA0F0"/>
    <w:rsid w:val="4BFE4C22"/>
    <w:rsid w:val="4C7C5F8F"/>
    <w:rsid w:val="4CAA2CF4"/>
    <w:rsid w:val="4CBC5466"/>
    <w:rsid w:val="4CBF0EAA"/>
    <w:rsid w:val="4CD61845"/>
    <w:rsid w:val="4CFEABAD"/>
    <w:rsid w:val="4D17062B"/>
    <w:rsid w:val="4D52686A"/>
    <w:rsid w:val="4DBEF3AB"/>
    <w:rsid w:val="4DFB1242"/>
    <w:rsid w:val="4E3F25A9"/>
    <w:rsid w:val="4E3F578A"/>
    <w:rsid w:val="4E7541CD"/>
    <w:rsid w:val="4EBB16F7"/>
    <w:rsid w:val="4EC45DAF"/>
    <w:rsid w:val="4ED73581"/>
    <w:rsid w:val="4EFF34CD"/>
    <w:rsid w:val="4F310896"/>
    <w:rsid w:val="4F7DA060"/>
    <w:rsid w:val="4F7F68CC"/>
    <w:rsid w:val="4FAFE402"/>
    <w:rsid w:val="4FDDDF28"/>
    <w:rsid w:val="4FE94D4D"/>
    <w:rsid w:val="4FFAC8C5"/>
    <w:rsid w:val="4FFD3B09"/>
    <w:rsid w:val="4FFEF18D"/>
    <w:rsid w:val="506568B4"/>
    <w:rsid w:val="50D90043"/>
    <w:rsid w:val="513DD22D"/>
    <w:rsid w:val="517D19DC"/>
    <w:rsid w:val="51F45ABB"/>
    <w:rsid w:val="51F91FC5"/>
    <w:rsid w:val="52187956"/>
    <w:rsid w:val="52377C39"/>
    <w:rsid w:val="52FF420F"/>
    <w:rsid w:val="533BB980"/>
    <w:rsid w:val="5377E16D"/>
    <w:rsid w:val="539F8694"/>
    <w:rsid w:val="53A94D0A"/>
    <w:rsid w:val="53B00F8B"/>
    <w:rsid w:val="53EF4AA3"/>
    <w:rsid w:val="54314A3C"/>
    <w:rsid w:val="54BE2A37"/>
    <w:rsid w:val="54E57FC4"/>
    <w:rsid w:val="54F00716"/>
    <w:rsid w:val="551940AB"/>
    <w:rsid w:val="55232EA8"/>
    <w:rsid w:val="55D31B5D"/>
    <w:rsid w:val="55F75438"/>
    <w:rsid w:val="55FAF673"/>
    <w:rsid w:val="55FF46A8"/>
    <w:rsid w:val="562864B6"/>
    <w:rsid w:val="569FD107"/>
    <w:rsid w:val="56A6288B"/>
    <w:rsid w:val="56A7F269"/>
    <w:rsid w:val="56B367B3"/>
    <w:rsid w:val="56DF0E52"/>
    <w:rsid w:val="56FA24F2"/>
    <w:rsid w:val="56FF79F1"/>
    <w:rsid w:val="573F318F"/>
    <w:rsid w:val="577F6BCE"/>
    <w:rsid w:val="57A06424"/>
    <w:rsid w:val="57A45B9E"/>
    <w:rsid w:val="57A8C782"/>
    <w:rsid w:val="57DD9707"/>
    <w:rsid w:val="57E79C13"/>
    <w:rsid w:val="57EBD173"/>
    <w:rsid w:val="57F3480B"/>
    <w:rsid w:val="57F7BA51"/>
    <w:rsid w:val="57FB8463"/>
    <w:rsid w:val="57FCAEB4"/>
    <w:rsid w:val="58056F8B"/>
    <w:rsid w:val="581F559B"/>
    <w:rsid w:val="5872EDB0"/>
    <w:rsid w:val="588B485C"/>
    <w:rsid w:val="589F6E5F"/>
    <w:rsid w:val="58FD3F52"/>
    <w:rsid w:val="59415F61"/>
    <w:rsid w:val="59473365"/>
    <w:rsid w:val="599D455B"/>
    <w:rsid w:val="59B0D8FF"/>
    <w:rsid w:val="59C13496"/>
    <w:rsid w:val="59E33B71"/>
    <w:rsid w:val="59E791AF"/>
    <w:rsid w:val="59F11A55"/>
    <w:rsid w:val="59F65BC8"/>
    <w:rsid w:val="59F78497"/>
    <w:rsid w:val="59FDB2ED"/>
    <w:rsid w:val="5A15A165"/>
    <w:rsid w:val="5A5367C1"/>
    <w:rsid w:val="5B1C3BB4"/>
    <w:rsid w:val="5B6722AC"/>
    <w:rsid w:val="5B9F6AFC"/>
    <w:rsid w:val="5BB75EBD"/>
    <w:rsid w:val="5BD71205"/>
    <w:rsid w:val="5BDF8735"/>
    <w:rsid w:val="5BED0151"/>
    <w:rsid w:val="5BF7C7A1"/>
    <w:rsid w:val="5BF7D47E"/>
    <w:rsid w:val="5BF926CB"/>
    <w:rsid w:val="5BFEEBCD"/>
    <w:rsid w:val="5BFF72D5"/>
    <w:rsid w:val="5BFFADC6"/>
    <w:rsid w:val="5C908C73"/>
    <w:rsid w:val="5CBB421B"/>
    <w:rsid w:val="5CBF5A88"/>
    <w:rsid w:val="5CD455FE"/>
    <w:rsid w:val="5D184CAE"/>
    <w:rsid w:val="5D5FE93C"/>
    <w:rsid w:val="5D7F45DF"/>
    <w:rsid w:val="5D8C4A14"/>
    <w:rsid w:val="5D902A97"/>
    <w:rsid w:val="5DAA4CEE"/>
    <w:rsid w:val="5DB744C7"/>
    <w:rsid w:val="5DB8254C"/>
    <w:rsid w:val="5DBC692A"/>
    <w:rsid w:val="5DDF228F"/>
    <w:rsid w:val="5DEB2056"/>
    <w:rsid w:val="5DEFAE84"/>
    <w:rsid w:val="5DF513CE"/>
    <w:rsid w:val="5E7F85FF"/>
    <w:rsid w:val="5ECF7FE1"/>
    <w:rsid w:val="5EDF62F6"/>
    <w:rsid w:val="5EEC3A99"/>
    <w:rsid w:val="5EEFA613"/>
    <w:rsid w:val="5EFA98A1"/>
    <w:rsid w:val="5EFF2AE5"/>
    <w:rsid w:val="5F1F8009"/>
    <w:rsid w:val="5F5F6D5B"/>
    <w:rsid w:val="5F6FEDAF"/>
    <w:rsid w:val="5F942D12"/>
    <w:rsid w:val="5F9579E7"/>
    <w:rsid w:val="5FB67E22"/>
    <w:rsid w:val="5FBFACF6"/>
    <w:rsid w:val="5FCBFE22"/>
    <w:rsid w:val="5FCFC4CC"/>
    <w:rsid w:val="5FD6A04F"/>
    <w:rsid w:val="5FD6D4F7"/>
    <w:rsid w:val="5FDF7AA5"/>
    <w:rsid w:val="5FE5076B"/>
    <w:rsid w:val="5FEFBE63"/>
    <w:rsid w:val="5FF7019F"/>
    <w:rsid w:val="5FFF194C"/>
    <w:rsid w:val="5FFF8301"/>
    <w:rsid w:val="600B28A8"/>
    <w:rsid w:val="60875B8A"/>
    <w:rsid w:val="60935EB0"/>
    <w:rsid w:val="61433F3B"/>
    <w:rsid w:val="62852243"/>
    <w:rsid w:val="631101D6"/>
    <w:rsid w:val="631639BB"/>
    <w:rsid w:val="632A1297"/>
    <w:rsid w:val="63B84AF5"/>
    <w:rsid w:val="63C6135C"/>
    <w:rsid w:val="641511BB"/>
    <w:rsid w:val="6470199F"/>
    <w:rsid w:val="648C03B8"/>
    <w:rsid w:val="64B038FD"/>
    <w:rsid w:val="64DE058B"/>
    <w:rsid w:val="64FF8658"/>
    <w:rsid w:val="653B778C"/>
    <w:rsid w:val="6550455D"/>
    <w:rsid w:val="6587AC5F"/>
    <w:rsid w:val="65A96DEB"/>
    <w:rsid w:val="65B36BA5"/>
    <w:rsid w:val="65C4177D"/>
    <w:rsid w:val="65DC6671"/>
    <w:rsid w:val="65DE0135"/>
    <w:rsid w:val="65DFE90A"/>
    <w:rsid w:val="664F5A60"/>
    <w:rsid w:val="667ED4B9"/>
    <w:rsid w:val="667F18FA"/>
    <w:rsid w:val="669E109A"/>
    <w:rsid w:val="66AB0941"/>
    <w:rsid w:val="66B74677"/>
    <w:rsid w:val="66BFFB49"/>
    <w:rsid w:val="66D66F46"/>
    <w:rsid w:val="66F7453C"/>
    <w:rsid w:val="672C3830"/>
    <w:rsid w:val="67761F07"/>
    <w:rsid w:val="67781FD1"/>
    <w:rsid w:val="677DD960"/>
    <w:rsid w:val="678874EA"/>
    <w:rsid w:val="67AF0891"/>
    <w:rsid w:val="67B37ED2"/>
    <w:rsid w:val="67B40539"/>
    <w:rsid w:val="67BD156B"/>
    <w:rsid w:val="67BD26DA"/>
    <w:rsid w:val="67BD9AFF"/>
    <w:rsid w:val="67CE8E5E"/>
    <w:rsid w:val="67D6F982"/>
    <w:rsid w:val="67DECA06"/>
    <w:rsid w:val="67E87253"/>
    <w:rsid w:val="67FF0573"/>
    <w:rsid w:val="67FF1F67"/>
    <w:rsid w:val="67FF5250"/>
    <w:rsid w:val="67FF5946"/>
    <w:rsid w:val="68030ABA"/>
    <w:rsid w:val="68332FE8"/>
    <w:rsid w:val="68357C34"/>
    <w:rsid w:val="68721717"/>
    <w:rsid w:val="68B7BEC6"/>
    <w:rsid w:val="6933534A"/>
    <w:rsid w:val="6949691B"/>
    <w:rsid w:val="69BC1DF5"/>
    <w:rsid w:val="69CA1C07"/>
    <w:rsid w:val="69CF6852"/>
    <w:rsid w:val="69D52784"/>
    <w:rsid w:val="69E421A0"/>
    <w:rsid w:val="6A6E3617"/>
    <w:rsid w:val="6AA054E6"/>
    <w:rsid w:val="6AC50223"/>
    <w:rsid w:val="6AF9E635"/>
    <w:rsid w:val="6AFC5C0F"/>
    <w:rsid w:val="6B3EE2E5"/>
    <w:rsid w:val="6B6F79DF"/>
    <w:rsid w:val="6B7C97D8"/>
    <w:rsid w:val="6B7D4FBB"/>
    <w:rsid w:val="6BCD9334"/>
    <w:rsid w:val="6BDBE6AC"/>
    <w:rsid w:val="6BDF0F47"/>
    <w:rsid w:val="6BDF71B9"/>
    <w:rsid w:val="6BED7F33"/>
    <w:rsid w:val="6BF5DC52"/>
    <w:rsid w:val="6BF7E380"/>
    <w:rsid w:val="6C3310BB"/>
    <w:rsid w:val="6C6744DB"/>
    <w:rsid w:val="6C731A75"/>
    <w:rsid w:val="6CAB7474"/>
    <w:rsid w:val="6CE04692"/>
    <w:rsid w:val="6D2E2E1A"/>
    <w:rsid w:val="6DA83A91"/>
    <w:rsid w:val="6DAA6C44"/>
    <w:rsid w:val="6DAB3462"/>
    <w:rsid w:val="6DCF13B9"/>
    <w:rsid w:val="6E7C299A"/>
    <w:rsid w:val="6E7DCCBA"/>
    <w:rsid w:val="6E7F2CB1"/>
    <w:rsid w:val="6EAB2BD6"/>
    <w:rsid w:val="6ED72E84"/>
    <w:rsid w:val="6EEE59C2"/>
    <w:rsid w:val="6EF59E88"/>
    <w:rsid w:val="6EFBE523"/>
    <w:rsid w:val="6EFBE7E1"/>
    <w:rsid w:val="6EFF84B5"/>
    <w:rsid w:val="6EFFFAC9"/>
    <w:rsid w:val="6F1F9973"/>
    <w:rsid w:val="6F3F1802"/>
    <w:rsid w:val="6F3F5E56"/>
    <w:rsid w:val="6F6322AE"/>
    <w:rsid w:val="6F72A383"/>
    <w:rsid w:val="6F7D2515"/>
    <w:rsid w:val="6F7D2B55"/>
    <w:rsid w:val="6F7FCACC"/>
    <w:rsid w:val="6F9931CD"/>
    <w:rsid w:val="6F9E8A63"/>
    <w:rsid w:val="6FBA5811"/>
    <w:rsid w:val="6FBC4C77"/>
    <w:rsid w:val="6FBF465F"/>
    <w:rsid w:val="6FCF9535"/>
    <w:rsid w:val="6FCFABC7"/>
    <w:rsid w:val="6FCFDE62"/>
    <w:rsid w:val="6FDD0D28"/>
    <w:rsid w:val="6FE470FA"/>
    <w:rsid w:val="6FEB5FA6"/>
    <w:rsid w:val="6FF5441F"/>
    <w:rsid w:val="6FF84753"/>
    <w:rsid w:val="6FFCAD84"/>
    <w:rsid w:val="6FFD339C"/>
    <w:rsid w:val="6FFDC1EA"/>
    <w:rsid w:val="6FFE083A"/>
    <w:rsid w:val="70294DB1"/>
    <w:rsid w:val="708C2B79"/>
    <w:rsid w:val="70BEBC81"/>
    <w:rsid w:val="70ED066B"/>
    <w:rsid w:val="710E4583"/>
    <w:rsid w:val="713F3528"/>
    <w:rsid w:val="71636BD5"/>
    <w:rsid w:val="71722787"/>
    <w:rsid w:val="717E97C8"/>
    <w:rsid w:val="71815391"/>
    <w:rsid w:val="71BD32D3"/>
    <w:rsid w:val="71C176EC"/>
    <w:rsid w:val="71DF7944"/>
    <w:rsid w:val="71F735BA"/>
    <w:rsid w:val="71FFE7DF"/>
    <w:rsid w:val="72396CB1"/>
    <w:rsid w:val="72986919"/>
    <w:rsid w:val="72B34E05"/>
    <w:rsid w:val="72FFA289"/>
    <w:rsid w:val="73237544"/>
    <w:rsid w:val="735F1E9D"/>
    <w:rsid w:val="736656E5"/>
    <w:rsid w:val="73734595"/>
    <w:rsid w:val="737860C8"/>
    <w:rsid w:val="737BB496"/>
    <w:rsid w:val="737DE83D"/>
    <w:rsid w:val="73B40A19"/>
    <w:rsid w:val="73CFB00F"/>
    <w:rsid w:val="73E14FC8"/>
    <w:rsid w:val="73FE94B6"/>
    <w:rsid w:val="748DD99E"/>
    <w:rsid w:val="74CB8A7E"/>
    <w:rsid w:val="75130AC0"/>
    <w:rsid w:val="75297601"/>
    <w:rsid w:val="752D30F1"/>
    <w:rsid w:val="753707F9"/>
    <w:rsid w:val="759FFE7D"/>
    <w:rsid w:val="75BF4AA7"/>
    <w:rsid w:val="75F5DA31"/>
    <w:rsid w:val="75FFF7FF"/>
    <w:rsid w:val="764566BC"/>
    <w:rsid w:val="76480798"/>
    <w:rsid w:val="765FD0EE"/>
    <w:rsid w:val="766F00D1"/>
    <w:rsid w:val="766FCA8E"/>
    <w:rsid w:val="76770A64"/>
    <w:rsid w:val="767F77D0"/>
    <w:rsid w:val="769C5A77"/>
    <w:rsid w:val="76BD30D3"/>
    <w:rsid w:val="77021A60"/>
    <w:rsid w:val="772E7391"/>
    <w:rsid w:val="773D68D3"/>
    <w:rsid w:val="773E5F58"/>
    <w:rsid w:val="777E92AB"/>
    <w:rsid w:val="777F7938"/>
    <w:rsid w:val="777F9309"/>
    <w:rsid w:val="77A1A511"/>
    <w:rsid w:val="77B17ACF"/>
    <w:rsid w:val="77B2F382"/>
    <w:rsid w:val="77B9DF0D"/>
    <w:rsid w:val="77BD9209"/>
    <w:rsid w:val="77BDB8FF"/>
    <w:rsid w:val="77BECBCA"/>
    <w:rsid w:val="77BEDFEC"/>
    <w:rsid w:val="77DD9818"/>
    <w:rsid w:val="77DE0D3E"/>
    <w:rsid w:val="77DF0A96"/>
    <w:rsid w:val="77DF15E5"/>
    <w:rsid w:val="77DF30D4"/>
    <w:rsid w:val="77DF7511"/>
    <w:rsid w:val="77FEC710"/>
    <w:rsid w:val="77FF22D5"/>
    <w:rsid w:val="77FF6285"/>
    <w:rsid w:val="785E488E"/>
    <w:rsid w:val="78782D79"/>
    <w:rsid w:val="78E0091E"/>
    <w:rsid w:val="78F01257"/>
    <w:rsid w:val="78FB2A96"/>
    <w:rsid w:val="78FF8AAE"/>
    <w:rsid w:val="79002D6F"/>
    <w:rsid w:val="792E15A4"/>
    <w:rsid w:val="797B164A"/>
    <w:rsid w:val="798679E8"/>
    <w:rsid w:val="79E4C22B"/>
    <w:rsid w:val="79E951EA"/>
    <w:rsid w:val="79F33AE3"/>
    <w:rsid w:val="79FB5F8C"/>
    <w:rsid w:val="79FD8D2D"/>
    <w:rsid w:val="79FEC4C8"/>
    <w:rsid w:val="7A0A2E3B"/>
    <w:rsid w:val="7A5B78BA"/>
    <w:rsid w:val="7A77FBDF"/>
    <w:rsid w:val="7ABE4EEC"/>
    <w:rsid w:val="7AEEF838"/>
    <w:rsid w:val="7AF23F22"/>
    <w:rsid w:val="7AFC5E72"/>
    <w:rsid w:val="7AFF30B3"/>
    <w:rsid w:val="7B036E36"/>
    <w:rsid w:val="7B0424DB"/>
    <w:rsid w:val="7B275447"/>
    <w:rsid w:val="7B28545E"/>
    <w:rsid w:val="7B2FEEE1"/>
    <w:rsid w:val="7B5DEDF1"/>
    <w:rsid w:val="7B6FB16E"/>
    <w:rsid w:val="7B7FAE8F"/>
    <w:rsid w:val="7B7FE794"/>
    <w:rsid w:val="7B8F0C67"/>
    <w:rsid w:val="7BBD60C1"/>
    <w:rsid w:val="7BCE7304"/>
    <w:rsid w:val="7BCF95B5"/>
    <w:rsid w:val="7BDE00DF"/>
    <w:rsid w:val="7BDF4EBD"/>
    <w:rsid w:val="7BED7162"/>
    <w:rsid w:val="7BEF4557"/>
    <w:rsid w:val="7BEFA6FE"/>
    <w:rsid w:val="7BF35EB4"/>
    <w:rsid w:val="7BF91389"/>
    <w:rsid w:val="7BF9B76A"/>
    <w:rsid w:val="7BFB2E10"/>
    <w:rsid w:val="7BFE0FA3"/>
    <w:rsid w:val="7BFEC78E"/>
    <w:rsid w:val="7BFEF91B"/>
    <w:rsid w:val="7BFFB672"/>
    <w:rsid w:val="7BFFCE07"/>
    <w:rsid w:val="7C2645C2"/>
    <w:rsid w:val="7C377EA0"/>
    <w:rsid w:val="7C444E07"/>
    <w:rsid w:val="7C75D1CA"/>
    <w:rsid w:val="7CCF5146"/>
    <w:rsid w:val="7CE400EF"/>
    <w:rsid w:val="7CE51347"/>
    <w:rsid w:val="7CFD611C"/>
    <w:rsid w:val="7CFF7AB7"/>
    <w:rsid w:val="7D3F2D90"/>
    <w:rsid w:val="7D5A8A78"/>
    <w:rsid w:val="7D75418E"/>
    <w:rsid w:val="7D7F0FDF"/>
    <w:rsid w:val="7D7FAD7F"/>
    <w:rsid w:val="7D97F239"/>
    <w:rsid w:val="7D97F962"/>
    <w:rsid w:val="7D9F8E57"/>
    <w:rsid w:val="7DB718AD"/>
    <w:rsid w:val="7DB75F1E"/>
    <w:rsid w:val="7DBD13B3"/>
    <w:rsid w:val="7DBFFEE2"/>
    <w:rsid w:val="7DC33C62"/>
    <w:rsid w:val="7DC4197F"/>
    <w:rsid w:val="7DD3818E"/>
    <w:rsid w:val="7DDBF53B"/>
    <w:rsid w:val="7DDF08B6"/>
    <w:rsid w:val="7DE55282"/>
    <w:rsid w:val="7DEB3CE2"/>
    <w:rsid w:val="7DEB882F"/>
    <w:rsid w:val="7DEC8E6F"/>
    <w:rsid w:val="7DECA33A"/>
    <w:rsid w:val="7DF1EEB4"/>
    <w:rsid w:val="7DFABD84"/>
    <w:rsid w:val="7DFACCD6"/>
    <w:rsid w:val="7DFDD0EA"/>
    <w:rsid w:val="7DFFB742"/>
    <w:rsid w:val="7E3E31DF"/>
    <w:rsid w:val="7E77B2C3"/>
    <w:rsid w:val="7E7C9F8B"/>
    <w:rsid w:val="7E87DE4E"/>
    <w:rsid w:val="7E8A55B4"/>
    <w:rsid w:val="7EB46E4B"/>
    <w:rsid w:val="7EB6034C"/>
    <w:rsid w:val="7EB71A43"/>
    <w:rsid w:val="7EBCB843"/>
    <w:rsid w:val="7EBFED01"/>
    <w:rsid w:val="7EC734E1"/>
    <w:rsid w:val="7ECE8247"/>
    <w:rsid w:val="7ECF4C83"/>
    <w:rsid w:val="7ED77E70"/>
    <w:rsid w:val="7EDBED47"/>
    <w:rsid w:val="7EDFF76D"/>
    <w:rsid w:val="7EEAE196"/>
    <w:rsid w:val="7EED6DDC"/>
    <w:rsid w:val="7EEDD2E9"/>
    <w:rsid w:val="7EEFA102"/>
    <w:rsid w:val="7EEFA225"/>
    <w:rsid w:val="7EF5B4B7"/>
    <w:rsid w:val="7EF72369"/>
    <w:rsid w:val="7EF7909C"/>
    <w:rsid w:val="7EF7C1DA"/>
    <w:rsid w:val="7EF95452"/>
    <w:rsid w:val="7EFACDAE"/>
    <w:rsid w:val="7EFB20AF"/>
    <w:rsid w:val="7EFDA81C"/>
    <w:rsid w:val="7EFE29CC"/>
    <w:rsid w:val="7EFFBE4B"/>
    <w:rsid w:val="7EFFC03B"/>
    <w:rsid w:val="7EFFD951"/>
    <w:rsid w:val="7F0B00EA"/>
    <w:rsid w:val="7F1255AA"/>
    <w:rsid w:val="7F2DD748"/>
    <w:rsid w:val="7F4976CB"/>
    <w:rsid w:val="7F4F3695"/>
    <w:rsid w:val="7F4F4108"/>
    <w:rsid w:val="7F517ECA"/>
    <w:rsid w:val="7F5AB2DA"/>
    <w:rsid w:val="7F5AF06C"/>
    <w:rsid w:val="7F5FBC11"/>
    <w:rsid w:val="7F6758CC"/>
    <w:rsid w:val="7F6C2883"/>
    <w:rsid w:val="7F731D6C"/>
    <w:rsid w:val="7F75EFD8"/>
    <w:rsid w:val="7F7783A0"/>
    <w:rsid w:val="7F77F06F"/>
    <w:rsid w:val="7F7839FE"/>
    <w:rsid w:val="7F78E94F"/>
    <w:rsid w:val="7F7D74F2"/>
    <w:rsid w:val="7F7F241A"/>
    <w:rsid w:val="7F7FB8C6"/>
    <w:rsid w:val="7F9FB635"/>
    <w:rsid w:val="7F9FB77B"/>
    <w:rsid w:val="7FAB5DB2"/>
    <w:rsid w:val="7FB45EC5"/>
    <w:rsid w:val="7FB5C952"/>
    <w:rsid w:val="7FB9A63D"/>
    <w:rsid w:val="7FBE1574"/>
    <w:rsid w:val="7FBF5150"/>
    <w:rsid w:val="7FC75190"/>
    <w:rsid w:val="7FCE5110"/>
    <w:rsid w:val="7FD7DB97"/>
    <w:rsid w:val="7FDAA6B8"/>
    <w:rsid w:val="7FDDB889"/>
    <w:rsid w:val="7FDE1C39"/>
    <w:rsid w:val="7FDEDB23"/>
    <w:rsid w:val="7FDF6BA8"/>
    <w:rsid w:val="7FDF98A1"/>
    <w:rsid w:val="7FDFA00A"/>
    <w:rsid w:val="7FE3C696"/>
    <w:rsid w:val="7FEF5A27"/>
    <w:rsid w:val="7FF1B67D"/>
    <w:rsid w:val="7FF39EE1"/>
    <w:rsid w:val="7FF5412E"/>
    <w:rsid w:val="7FF5BEA0"/>
    <w:rsid w:val="7FF6F450"/>
    <w:rsid w:val="7FF70AA9"/>
    <w:rsid w:val="7FF7B075"/>
    <w:rsid w:val="7FF9584E"/>
    <w:rsid w:val="7FF9C24D"/>
    <w:rsid w:val="7FFB761F"/>
    <w:rsid w:val="7FFB7FEA"/>
    <w:rsid w:val="7FFB815C"/>
    <w:rsid w:val="7FFBD17C"/>
    <w:rsid w:val="7FFDA58B"/>
    <w:rsid w:val="7FFE0F2B"/>
    <w:rsid w:val="7FFEBAEA"/>
    <w:rsid w:val="7FFF1B0E"/>
    <w:rsid w:val="7FFF587D"/>
    <w:rsid w:val="7FFF6A71"/>
    <w:rsid w:val="7FFF831E"/>
    <w:rsid w:val="7FFF9763"/>
    <w:rsid w:val="7FFF9FBB"/>
    <w:rsid w:val="7FFFE32C"/>
    <w:rsid w:val="83DBE86E"/>
    <w:rsid w:val="87FE7DB1"/>
    <w:rsid w:val="87FF9B41"/>
    <w:rsid w:val="88BD8A0A"/>
    <w:rsid w:val="8BFF06BF"/>
    <w:rsid w:val="8E9ADE6F"/>
    <w:rsid w:val="8EFD3901"/>
    <w:rsid w:val="8F4E3F35"/>
    <w:rsid w:val="8FDD764E"/>
    <w:rsid w:val="8FDE6265"/>
    <w:rsid w:val="8FEBCCC2"/>
    <w:rsid w:val="8FF7B352"/>
    <w:rsid w:val="8FF7DFC1"/>
    <w:rsid w:val="92F35303"/>
    <w:rsid w:val="93FD0F63"/>
    <w:rsid w:val="946F1A15"/>
    <w:rsid w:val="97733B39"/>
    <w:rsid w:val="97BF1592"/>
    <w:rsid w:val="97DB690A"/>
    <w:rsid w:val="97F603C3"/>
    <w:rsid w:val="99FEF2FA"/>
    <w:rsid w:val="9B7DE6C6"/>
    <w:rsid w:val="9BF5928D"/>
    <w:rsid w:val="9D8709A6"/>
    <w:rsid w:val="9DEC8F3F"/>
    <w:rsid w:val="9DF8F271"/>
    <w:rsid w:val="9E37509D"/>
    <w:rsid w:val="9E5572B6"/>
    <w:rsid w:val="9E780CF2"/>
    <w:rsid w:val="9E7E07E9"/>
    <w:rsid w:val="9EE00B9C"/>
    <w:rsid w:val="9EFFEC0E"/>
    <w:rsid w:val="9F6BDEF7"/>
    <w:rsid w:val="9F71F1CF"/>
    <w:rsid w:val="9FFB263C"/>
    <w:rsid w:val="9FFB3288"/>
    <w:rsid w:val="9FFF20B8"/>
    <w:rsid w:val="9FFF8DFD"/>
    <w:rsid w:val="9FFF92F5"/>
    <w:rsid w:val="A0FF46A3"/>
    <w:rsid w:val="A433E913"/>
    <w:rsid w:val="A5B63D73"/>
    <w:rsid w:val="A7BE440D"/>
    <w:rsid w:val="A7EFDBF4"/>
    <w:rsid w:val="A7F3408E"/>
    <w:rsid w:val="A7FB998D"/>
    <w:rsid w:val="A7FBA925"/>
    <w:rsid w:val="AB5F76CA"/>
    <w:rsid w:val="ACFF2019"/>
    <w:rsid w:val="AD7FAC35"/>
    <w:rsid w:val="ADE9E8D5"/>
    <w:rsid w:val="AF5F9CCF"/>
    <w:rsid w:val="AF7B477A"/>
    <w:rsid w:val="AFBFB9B4"/>
    <w:rsid w:val="AFD59B06"/>
    <w:rsid w:val="AFDF215B"/>
    <w:rsid w:val="AFEAD85F"/>
    <w:rsid w:val="AFF7DB68"/>
    <w:rsid w:val="AFFDA8BE"/>
    <w:rsid w:val="AFFF437C"/>
    <w:rsid w:val="B18AFA2E"/>
    <w:rsid w:val="B1F94341"/>
    <w:rsid w:val="B33310D3"/>
    <w:rsid w:val="B3981E1E"/>
    <w:rsid w:val="B3E7948B"/>
    <w:rsid w:val="B3FB4D6B"/>
    <w:rsid w:val="B4EB9F03"/>
    <w:rsid w:val="B4FFED60"/>
    <w:rsid w:val="B5DF93C2"/>
    <w:rsid w:val="B5FB978B"/>
    <w:rsid w:val="B62D8343"/>
    <w:rsid w:val="B63B6AEC"/>
    <w:rsid w:val="B6AB1028"/>
    <w:rsid w:val="B73B9295"/>
    <w:rsid w:val="B77E53FA"/>
    <w:rsid w:val="B77FAFE0"/>
    <w:rsid w:val="B77FE041"/>
    <w:rsid w:val="B7890652"/>
    <w:rsid w:val="B7EF3A37"/>
    <w:rsid w:val="B7FFCC0E"/>
    <w:rsid w:val="B87C7E78"/>
    <w:rsid w:val="B8FD4C12"/>
    <w:rsid w:val="B9CF52B5"/>
    <w:rsid w:val="B9F65053"/>
    <w:rsid w:val="BAF7B758"/>
    <w:rsid w:val="BAFB7A74"/>
    <w:rsid w:val="BAFFBAD7"/>
    <w:rsid w:val="BBFB1E0D"/>
    <w:rsid w:val="BBFB4787"/>
    <w:rsid w:val="BBFF3490"/>
    <w:rsid w:val="BC87F1C7"/>
    <w:rsid w:val="BCFFE119"/>
    <w:rsid w:val="BD550A45"/>
    <w:rsid w:val="BDB36503"/>
    <w:rsid w:val="BDDF6AE7"/>
    <w:rsid w:val="BDEB506F"/>
    <w:rsid w:val="BDF07A1F"/>
    <w:rsid w:val="BE74004F"/>
    <w:rsid w:val="BE7C6B60"/>
    <w:rsid w:val="BEA457EE"/>
    <w:rsid w:val="BEBBABB8"/>
    <w:rsid w:val="BEDB38C8"/>
    <w:rsid w:val="BEFE247E"/>
    <w:rsid w:val="BEFE4AB2"/>
    <w:rsid w:val="BEFE6DB5"/>
    <w:rsid w:val="BF152F1A"/>
    <w:rsid w:val="BF2D2140"/>
    <w:rsid w:val="BF3F0F69"/>
    <w:rsid w:val="BF5F25E7"/>
    <w:rsid w:val="BF75CD9A"/>
    <w:rsid w:val="BF96B8CA"/>
    <w:rsid w:val="BFCAC6D4"/>
    <w:rsid w:val="BFCDABAB"/>
    <w:rsid w:val="BFDB380F"/>
    <w:rsid w:val="BFDE0571"/>
    <w:rsid w:val="BFDE1609"/>
    <w:rsid w:val="BFDE3049"/>
    <w:rsid w:val="BFE71489"/>
    <w:rsid w:val="BFEDBC3B"/>
    <w:rsid w:val="BFF300E4"/>
    <w:rsid w:val="BFFA48BE"/>
    <w:rsid w:val="BFFF5FAC"/>
    <w:rsid w:val="BFFFC208"/>
    <w:rsid w:val="C57FBC3D"/>
    <w:rsid w:val="C6FFFEC2"/>
    <w:rsid w:val="C76E8232"/>
    <w:rsid w:val="C7BF0801"/>
    <w:rsid w:val="CB7B0BAD"/>
    <w:rsid w:val="CBFC8F54"/>
    <w:rsid w:val="CD7E675A"/>
    <w:rsid w:val="CD9F65EE"/>
    <w:rsid w:val="CDFFDF92"/>
    <w:rsid w:val="CEB5CCF9"/>
    <w:rsid w:val="CEBF2426"/>
    <w:rsid w:val="CF1484AF"/>
    <w:rsid w:val="CF7E3CD3"/>
    <w:rsid w:val="CFB75AAB"/>
    <w:rsid w:val="CFFB9854"/>
    <w:rsid w:val="CFFE7D8D"/>
    <w:rsid w:val="CFFFC832"/>
    <w:rsid w:val="D27ED738"/>
    <w:rsid w:val="D29F9C64"/>
    <w:rsid w:val="D2E6740D"/>
    <w:rsid w:val="D3580FB4"/>
    <w:rsid w:val="D38EC796"/>
    <w:rsid w:val="D3BDB11C"/>
    <w:rsid w:val="D3CF8611"/>
    <w:rsid w:val="D3F77968"/>
    <w:rsid w:val="D4FFAF36"/>
    <w:rsid w:val="D53B8568"/>
    <w:rsid w:val="D57DE8D9"/>
    <w:rsid w:val="D58FCBFE"/>
    <w:rsid w:val="D5EFBE3A"/>
    <w:rsid w:val="D5FBF85C"/>
    <w:rsid w:val="D6CF77A5"/>
    <w:rsid w:val="D6FF4ED3"/>
    <w:rsid w:val="D75F08BA"/>
    <w:rsid w:val="D77FA4E2"/>
    <w:rsid w:val="D79F4B82"/>
    <w:rsid w:val="D7AF6BCA"/>
    <w:rsid w:val="D7CB4DA0"/>
    <w:rsid w:val="D7DE1AF5"/>
    <w:rsid w:val="D7DE5BBA"/>
    <w:rsid w:val="D7FB6C77"/>
    <w:rsid w:val="D7FF2848"/>
    <w:rsid w:val="D8D64411"/>
    <w:rsid w:val="D9E58D84"/>
    <w:rsid w:val="DA5B0DD0"/>
    <w:rsid w:val="DA8BB3EF"/>
    <w:rsid w:val="DAC584B1"/>
    <w:rsid w:val="DAD20E3F"/>
    <w:rsid w:val="DAFFBFD9"/>
    <w:rsid w:val="DB1DA741"/>
    <w:rsid w:val="DB3F775C"/>
    <w:rsid w:val="DBA3A1FA"/>
    <w:rsid w:val="DBAFADAB"/>
    <w:rsid w:val="DBDF006C"/>
    <w:rsid w:val="DBF5D370"/>
    <w:rsid w:val="DBFD0F9E"/>
    <w:rsid w:val="DBFE049A"/>
    <w:rsid w:val="DBFE4600"/>
    <w:rsid w:val="DBFF0E85"/>
    <w:rsid w:val="DBFF3573"/>
    <w:rsid w:val="DBFFA0D2"/>
    <w:rsid w:val="DC3FA3F8"/>
    <w:rsid w:val="DCC0FC3E"/>
    <w:rsid w:val="DCDFE808"/>
    <w:rsid w:val="DCEF6C4B"/>
    <w:rsid w:val="DD0F9D28"/>
    <w:rsid w:val="DDC6C1FA"/>
    <w:rsid w:val="DDDF0198"/>
    <w:rsid w:val="DDDF2535"/>
    <w:rsid w:val="DDE663DC"/>
    <w:rsid w:val="DDEF29D7"/>
    <w:rsid w:val="DDF6560C"/>
    <w:rsid w:val="DDF661AF"/>
    <w:rsid w:val="DDFADF29"/>
    <w:rsid w:val="DDFEEA5E"/>
    <w:rsid w:val="DE628964"/>
    <w:rsid w:val="DEA7ED36"/>
    <w:rsid w:val="DEAB1928"/>
    <w:rsid w:val="DEE8547A"/>
    <w:rsid w:val="DEF320BA"/>
    <w:rsid w:val="DEFC803A"/>
    <w:rsid w:val="DF16BA53"/>
    <w:rsid w:val="DF3BDFF0"/>
    <w:rsid w:val="DF3D2601"/>
    <w:rsid w:val="DF492F2C"/>
    <w:rsid w:val="DF5F5B15"/>
    <w:rsid w:val="DF7B3328"/>
    <w:rsid w:val="DF7DD79E"/>
    <w:rsid w:val="DF9CE89C"/>
    <w:rsid w:val="DFAFE4E0"/>
    <w:rsid w:val="DFBD6386"/>
    <w:rsid w:val="DFBFFC8E"/>
    <w:rsid w:val="DFD2FA7C"/>
    <w:rsid w:val="DFD7A9A7"/>
    <w:rsid w:val="DFDBE418"/>
    <w:rsid w:val="DFDF9F61"/>
    <w:rsid w:val="DFDFBA1C"/>
    <w:rsid w:val="DFDFE4AB"/>
    <w:rsid w:val="DFE30989"/>
    <w:rsid w:val="DFE7B8FF"/>
    <w:rsid w:val="DFEBCD42"/>
    <w:rsid w:val="DFF9A688"/>
    <w:rsid w:val="DFFBC8FB"/>
    <w:rsid w:val="DFFD6A38"/>
    <w:rsid w:val="DFFE2E92"/>
    <w:rsid w:val="DFFF2033"/>
    <w:rsid w:val="DFFF55EC"/>
    <w:rsid w:val="E1EB9B4B"/>
    <w:rsid w:val="E3573E47"/>
    <w:rsid w:val="E3BBEE09"/>
    <w:rsid w:val="E5AD5FF3"/>
    <w:rsid w:val="E66FE9F3"/>
    <w:rsid w:val="E6DD6383"/>
    <w:rsid w:val="E7577A85"/>
    <w:rsid w:val="E757F63F"/>
    <w:rsid w:val="E77F18EF"/>
    <w:rsid w:val="E7BF83CA"/>
    <w:rsid w:val="E7ECDCC6"/>
    <w:rsid w:val="E7EF92C0"/>
    <w:rsid w:val="E9662545"/>
    <w:rsid w:val="E96F8959"/>
    <w:rsid w:val="EA4BBFBF"/>
    <w:rsid w:val="EA6FDD5A"/>
    <w:rsid w:val="EAEAD960"/>
    <w:rsid w:val="EAFE472E"/>
    <w:rsid w:val="EB553ECB"/>
    <w:rsid w:val="EB7FB403"/>
    <w:rsid w:val="EBADE185"/>
    <w:rsid w:val="EBB719CF"/>
    <w:rsid w:val="EBDB0454"/>
    <w:rsid w:val="EBEF4857"/>
    <w:rsid w:val="EBEF89B1"/>
    <w:rsid w:val="EBF09558"/>
    <w:rsid w:val="EBFD6561"/>
    <w:rsid w:val="EBFD965E"/>
    <w:rsid w:val="EBFE1EB1"/>
    <w:rsid w:val="EBFF263C"/>
    <w:rsid w:val="EBFFE631"/>
    <w:rsid w:val="EC6F0693"/>
    <w:rsid w:val="EC77A8EE"/>
    <w:rsid w:val="ECF5833B"/>
    <w:rsid w:val="ED3EE479"/>
    <w:rsid w:val="ED74B279"/>
    <w:rsid w:val="ED9F56FE"/>
    <w:rsid w:val="EDAFF24B"/>
    <w:rsid w:val="EDBF670E"/>
    <w:rsid w:val="EDC5DF52"/>
    <w:rsid w:val="EDCF6922"/>
    <w:rsid w:val="EDEB03EF"/>
    <w:rsid w:val="EDEE8937"/>
    <w:rsid w:val="EDFD5199"/>
    <w:rsid w:val="EE374DB0"/>
    <w:rsid w:val="EE7AC9D7"/>
    <w:rsid w:val="EEBB2E86"/>
    <w:rsid w:val="EEDB77CF"/>
    <w:rsid w:val="EEDCDFF1"/>
    <w:rsid w:val="EEEFB504"/>
    <w:rsid w:val="EF3483F4"/>
    <w:rsid w:val="EF4F1674"/>
    <w:rsid w:val="EF7FCD58"/>
    <w:rsid w:val="EFB53680"/>
    <w:rsid w:val="EFB78AE3"/>
    <w:rsid w:val="EFBFAD8F"/>
    <w:rsid w:val="EFE72057"/>
    <w:rsid w:val="EFE7826C"/>
    <w:rsid w:val="EFEF1D29"/>
    <w:rsid w:val="EFEF38A9"/>
    <w:rsid w:val="EFEF668D"/>
    <w:rsid w:val="EFF75C45"/>
    <w:rsid w:val="EFF7B3DB"/>
    <w:rsid w:val="EFF7DDF4"/>
    <w:rsid w:val="EFF7F09D"/>
    <w:rsid w:val="EFF814E7"/>
    <w:rsid w:val="EFFC9A90"/>
    <w:rsid w:val="EFFDD5FD"/>
    <w:rsid w:val="EFFF1D64"/>
    <w:rsid w:val="EFFF2E6C"/>
    <w:rsid w:val="EFFF7314"/>
    <w:rsid w:val="EFFFEF12"/>
    <w:rsid w:val="F0F23621"/>
    <w:rsid w:val="F2CC2847"/>
    <w:rsid w:val="F377DEFF"/>
    <w:rsid w:val="F39D9ED3"/>
    <w:rsid w:val="F3EF51EA"/>
    <w:rsid w:val="F3FF83E7"/>
    <w:rsid w:val="F497634E"/>
    <w:rsid w:val="F4BF2B1D"/>
    <w:rsid w:val="F4E753DF"/>
    <w:rsid w:val="F50D20CB"/>
    <w:rsid w:val="F537C504"/>
    <w:rsid w:val="F55B53B6"/>
    <w:rsid w:val="F575E524"/>
    <w:rsid w:val="F5A73931"/>
    <w:rsid w:val="F5BFC8C1"/>
    <w:rsid w:val="F5DE5878"/>
    <w:rsid w:val="F5EFF426"/>
    <w:rsid w:val="F5F44A98"/>
    <w:rsid w:val="F5F6A9AC"/>
    <w:rsid w:val="F5FE92B9"/>
    <w:rsid w:val="F5FEBF0D"/>
    <w:rsid w:val="F6275846"/>
    <w:rsid w:val="F63E247D"/>
    <w:rsid w:val="F66FA61D"/>
    <w:rsid w:val="F673A984"/>
    <w:rsid w:val="F6DF6D06"/>
    <w:rsid w:val="F6DF84D2"/>
    <w:rsid w:val="F6ED33B3"/>
    <w:rsid w:val="F6F34ED5"/>
    <w:rsid w:val="F6F7381E"/>
    <w:rsid w:val="F6F7ADCA"/>
    <w:rsid w:val="F6FC8017"/>
    <w:rsid w:val="F6FFB4CD"/>
    <w:rsid w:val="F71BD953"/>
    <w:rsid w:val="F737CC24"/>
    <w:rsid w:val="F76EE34E"/>
    <w:rsid w:val="F76F6AFD"/>
    <w:rsid w:val="F774364E"/>
    <w:rsid w:val="F7775132"/>
    <w:rsid w:val="F79F707A"/>
    <w:rsid w:val="F7B7AFF0"/>
    <w:rsid w:val="F7BE926B"/>
    <w:rsid w:val="F7BF83CF"/>
    <w:rsid w:val="F7DA06FE"/>
    <w:rsid w:val="F7E77209"/>
    <w:rsid w:val="F7EFC51C"/>
    <w:rsid w:val="F7EFF728"/>
    <w:rsid w:val="F7F52802"/>
    <w:rsid w:val="F7F56B38"/>
    <w:rsid w:val="F7F92508"/>
    <w:rsid w:val="F7FB3449"/>
    <w:rsid w:val="F7FD7387"/>
    <w:rsid w:val="F7FE2D2F"/>
    <w:rsid w:val="F7FE575C"/>
    <w:rsid w:val="F7FE9DF8"/>
    <w:rsid w:val="F7FF3055"/>
    <w:rsid w:val="F7FFBDB0"/>
    <w:rsid w:val="F7FFFEAE"/>
    <w:rsid w:val="F8B6E73C"/>
    <w:rsid w:val="F8BFE041"/>
    <w:rsid w:val="F8CF04EB"/>
    <w:rsid w:val="F9478A2C"/>
    <w:rsid w:val="F96F59B9"/>
    <w:rsid w:val="F9AE1EF8"/>
    <w:rsid w:val="F9AFBC27"/>
    <w:rsid w:val="F9ED676B"/>
    <w:rsid w:val="F9F3DE22"/>
    <w:rsid w:val="F9F9A00D"/>
    <w:rsid w:val="F9FB7925"/>
    <w:rsid w:val="F9FE44AD"/>
    <w:rsid w:val="FA7FD42B"/>
    <w:rsid w:val="FADAD483"/>
    <w:rsid w:val="FADF0C5E"/>
    <w:rsid w:val="FAFC5812"/>
    <w:rsid w:val="FAFF8CFD"/>
    <w:rsid w:val="FB2FF09C"/>
    <w:rsid w:val="FB3F2FDE"/>
    <w:rsid w:val="FB4B28C6"/>
    <w:rsid w:val="FB4FF581"/>
    <w:rsid w:val="FB568D77"/>
    <w:rsid w:val="FB6B7074"/>
    <w:rsid w:val="FB9C90E5"/>
    <w:rsid w:val="FBB5A614"/>
    <w:rsid w:val="FBBDC379"/>
    <w:rsid w:val="FBBE471F"/>
    <w:rsid w:val="FBBFC202"/>
    <w:rsid w:val="FBEB7580"/>
    <w:rsid w:val="FBEF222D"/>
    <w:rsid w:val="FBFACF83"/>
    <w:rsid w:val="FBFBD00F"/>
    <w:rsid w:val="FBFE1097"/>
    <w:rsid w:val="FBFF2497"/>
    <w:rsid w:val="FBFF828C"/>
    <w:rsid w:val="FBFFB46C"/>
    <w:rsid w:val="FBFFB83D"/>
    <w:rsid w:val="FC5A9A47"/>
    <w:rsid w:val="FC5F22E7"/>
    <w:rsid w:val="FC6F64BE"/>
    <w:rsid w:val="FCB1DCB7"/>
    <w:rsid w:val="FCED52C3"/>
    <w:rsid w:val="FCEFB16B"/>
    <w:rsid w:val="FCF99869"/>
    <w:rsid w:val="FCFE7DEB"/>
    <w:rsid w:val="FD2FEB55"/>
    <w:rsid w:val="FD3FC441"/>
    <w:rsid w:val="FD6F5107"/>
    <w:rsid w:val="FD8C10C1"/>
    <w:rsid w:val="FDAF9EAE"/>
    <w:rsid w:val="FDBE9719"/>
    <w:rsid w:val="FDC7E5C8"/>
    <w:rsid w:val="FDD14D73"/>
    <w:rsid w:val="FDED14A5"/>
    <w:rsid w:val="FDEF2E9E"/>
    <w:rsid w:val="FDF32E75"/>
    <w:rsid w:val="FDF6A1DB"/>
    <w:rsid w:val="FDFD6690"/>
    <w:rsid w:val="FDFE2FA0"/>
    <w:rsid w:val="FDFEB495"/>
    <w:rsid w:val="FDFFAA1F"/>
    <w:rsid w:val="FDFFF9FB"/>
    <w:rsid w:val="FE3ABDF5"/>
    <w:rsid w:val="FE3F9A3B"/>
    <w:rsid w:val="FE6F0F0D"/>
    <w:rsid w:val="FE712010"/>
    <w:rsid w:val="FE7AA311"/>
    <w:rsid w:val="FE7F6690"/>
    <w:rsid w:val="FED69B4A"/>
    <w:rsid w:val="FED7426C"/>
    <w:rsid w:val="FEDD1CAF"/>
    <w:rsid w:val="FEDFC66D"/>
    <w:rsid w:val="FEED855B"/>
    <w:rsid w:val="FEF3E753"/>
    <w:rsid w:val="FEF4E923"/>
    <w:rsid w:val="FEF7766A"/>
    <w:rsid w:val="FEF7D6C4"/>
    <w:rsid w:val="FEFF1B00"/>
    <w:rsid w:val="FEFF52EF"/>
    <w:rsid w:val="FEFF6A35"/>
    <w:rsid w:val="FF37D076"/>
    <w:rsid w:val="FF3AC67C"/>
    <w:rsid w:val="FF57095C"/>
    <w:rsid w:val="FF59AC55"/>
    <w:rsid w:val="FF5E8B1F"/>
    <w:rsid w:val="FF5F2E59"/>
    <w:rsid w:val="FF5FDA1C"/>
    <w:rsid w:val="FF5FFAFE"/>
    <w:rsid w:val="FF755427"/>
    <w:rsid w:val="FF7AFFE5"/>
    <w:rsid w:val="FF7BFCBA"/>
    <w:rsid w:val="FF7DB54F"/>
    <w:rsid w:val="FF7F40EE"/>
    <w:rsid w:val="FF7F5C98"/>
    <w:rsid w:val="FF7FA43D"/>
    <w:rsid w:val="FF965087"/>
    <w:rsid w:val="FF9CA279"/>
    <w:rsid w:val="FF9F3A2F"/>
    <w:rsid w:val="FFA9366A"/>
    <w:rsid w:val="FFB9C753"/>
    <w:rsid w:val="FFBA3B45"/>
    <w:rsid w:val="FFBBDB47"/>
    <w:rsid w:val="FFBE3E77"/>
    <w:rsid w:val="FFBE4597"/>
    <w:rsid w:val="FFBE487D"/>
    <w:rsid w:val="FFBFA755"/>
    <w:rsid w:val="FFBFCF05"/>
    <w:rsid w:val="FFCB5678"/>
    <w:rsid w:val="FFCD1D2D"/>
    <w:rsid w:val="FFCD474B"/>
    <w:rsid w:val="FFCE77D8"/>
    <w:rsid w:val="FFD531A2"/>
    <w:rsid w:val="FFD77A5E"/>
    <w:rsid w:val="FFDB2434"/>
    <w:rsid w:val="FFDCE998"/>
    <w:rsid w:val="FFDD6CC6"/>
    <w:rsid w:val="FFDF0BB2"/>
    <w:rsid w:val="FFDF2CDD"/>
    <w:rsid w:val="FFDF303D"/>
    <w:rsid w:val="FFE53FEF"/>
    <w:rsid w:val="FFE9954C"/>
    <w:rsid w:val="FFEE8BDC"/>
    <w:rsid w:val="FFEF2F70"/>
    <w:rsid w:val="FFEF3C3F"/>
    <w:rsid w:val="FFEF79E3"/>
    <w:rsid w:val="FFF7ADF6"/>
    <w:rsid w:val="FFF90338"/>
    <w:rsid w:val="FFF9CF6F"/>
    <w:rsid w:val="FFFB3F77"/>
    <w:rsid w:val="FFFB43B4"/>
    <w:rsid w:val="FFFB54A4"/>
    <w:rsid w:val="FFFD19BB"/>
    <w:rsid w:val="FFFDC4E3"/>
    <w:rsid w:val="FFFE49F1"/>
    <w:rsid w:val="FFFF13E0"/>
    <w:rsid w:val="FFFF50F0"/>
    <w:rsid w:val="FFFF676F"/>
    <w:rsid w:val="FFFF7327"/>
    <w:rsid w:val="FFFFB9BF"/>
    <w:rsid w:val="FFFFCD61"/>
    <w:rsid w:val="FFFFD0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qFormat="1" w:unhideWhenUsed="0" w:uiPriority="0" w:semiHidden="0" w:name="Closing"/>
    <w:lsdException w:unhideWhenUsed="0" w:uiPriority="0" w:semiHidden="0" w:name="Signature"/>
    <w:lsdException w:qFormat="1" w:uiPriority="1" w:name="Default Paragraph Font"/>
    <w:lsdException w:qFormat="1"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after="160" w:line="278" w:lineRule="auto"/>
      <w:jc w:val="both"/>
    </w:pPr>
    <w:rPr>
      <w:rFonts w:ascii="仿宋_GB2312" w:hAnsi="仿宋_GB2312" w:eastAsia="仿宋_GB2312" w:cs="仿宋_GB2312"/>
      <w:kern w:val="2"/>
      <w:sz w:val="30"/>
      <w:szCs w:val="30"/>
      <w:lang w:val="en-US" w:eastAsia="zh-CN" w:bidi="ar-SA"/>
    </w:rPr>
  </w:style>
  <w:style w:type="paragraph" w:styleId="3">
    <w:name w:val="heading 1"/>
    <w:basedOn w:val="1"/>
    <w:next w:val="1"/>
    <w:qFormat/>
    <w:uiPriority w:val="0"/>
    <w:pPr>
      <w:keepNext/>
      <w:keepLines/>
      <w:spacing w:before="340" w:after="330" w:line="576" w:lineRule="auto"/>
      <w:outlineLvl w:val="0"/>
    </w:pPr>
    <w:rPr>
      <w:b/>
      <w:kern w:val="44"/>
      <w:sz w:val="44"/>
    </w:rPr>
  </w:style>
  <w:style w:type="paragraph" w:styleId="4">
    <w:name w:val="heading 2"/>
    <w:basedOn w:val="1"/>
    <w:next w:val="1"/>
    <w:unhideWhenUsed/>
    <w:qFormat/>
    <w:uiPriority w:val="0"/>
    <w:pPr>
      <w:keepNext/>
      <w:keepLines/>
      <w:spacing w:before="260" w:after="260" w:line="413" w:lineRule="auto"/>
      <w:outlineLvl w:val="1"/>
    </w:pPr>
    <w:rPr>
      <w:rFonts w:ascii="Arial" w:hAnsi="Arial" w:eastAsia="黑体"/>
      <w:b/>
      <w:sz w:val="32"/>
    </w:rPr>
  </w:style>
  <w:style w:type="paragraph" w:styleId="5">
    <w:name w:val="heading 3"/>
    <w:basedOn w:val="1"/>
    <w:next w:val="1"/>
    <w:unhideWhenUsed/>
    <w:qFormat/>
    <w:uiPriority w:val="0"/>
    <w:pPr>
      <w:spacing w:beforeAutospacing="1" w:afterAutospacing="1"/>
      <w:jc w:val="left"/>
      <w:outlineLvl w:val="2"/>
    </w:pPr>
    <w:rPr>
      <w:rFonts w:hint="eastAsia" w:ascii="宋体" w:hAnsi="宋体"/>
      <w:b/>
      <w:kern w:val="0"/>
      <w:sz w:val="27"/>
      <w:szCs w:val="27"/>
    </w:rPr>
  </w:style>
  <w:style w:type="paragraph" w:styleId="6">
    <w:name w:val="heading 4"/>
    <w:basedOn w:val="1"/>
    <w:next w:val="1"/>
    <w:unhideWhenUsed/>
    <w:qFormat/>
    <w:uiPriority w:val="0"/>
    <w:pPr>
      <w:keepNext/>
      <w:keepLines/>
      <w:spacing w:before="280" w:after="290" w:line="372" w:lineRule="auto"/>
      <w:outlineLvl w:val="3"/>
    </w:pPr>
    <w:rPr>
      <w:rFonts w:ascii="Arial" w:hAnsi="Arial" w:eastAsia="黑体"/>
      <w:b/>
      <w:sz w:val="28"/>
    </w:rPr>
  </w:style>
  <w:style w:type="paragraph" w:styleId="7">
    <w:name w:val="heading 5"/>
    <w:basedOn w:val="1"/>
    <w:next w:val="1"/>
    <w:unhideWhenUsed/>
    <w:qFormat/>
    <w:uiPriority w:val="0"/>
    <w:pPr>
      <w:keepNext/>
      <w:keepLines/>
      <w:spacing w:before="280" w:after="290" w:line="372" w:lineRule="auto"/>
      <w:outlineLvl w:val="4"/>
    </w:pPr>
    <w:rPr>
      <w:b/>
      <w:sz w:val="28"/>
    </w:rPr>
  </w:style>
  <w:style w:type="character" w:default="1" w:styleId="25">
    <w:name w:val="Default Paragraph Font"/>
    <w:semiHidden/>
    <w:unhideWhenUsed/>
    <w:qFormat/>
    <w:uiPriority w:val="1"/>
  </w:style>
  <w:style w:type="table" w:default="1" w:styleId="23">
    <w:name w:val="Normal Table"/>
    <w:semiHidden/>
    <w:unhideWhenUsed/>
    <w:qFormat/>
    <w:uiPriority w:val="99"/>
    <w:tblPr>
      <w:tblCellMar>
        <w:top w:w="0" w:type="dxa"/>
        <w:left w:w="108" w:type="dxa"/>
        <w:bottom w:w="0" w:type="dxa"/>
        <w:right w:w="108" w:type="dxa"/>
      </w:tblCellMar>
    </w:tblPr>
  </w:style>
  <w:style w:type="paragraph" w:styleId="2">
    <w:name w:val="header"/>
    <w:basedOn w:val="1"/>
    <w:next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Normal Indent"/>
    <w:basedOn w:val="1"/>
    <w:next w:val="1"/>
    <w:qFormat/>
    <w:uiPriority w:val="0"/>
    <w:pPr>
      <w:ind w:firstLine="420"/>
    </w:pPr>
  </w:style>
  <w:style w:type="paragraph" w:styleId="9">
    <w:name w:val="annotation text"/>
    <w:basedOn w:val="1"/>
    <w:link w:val="36"/>
    <w:qFormat/>
    <w:uiPriority w:val="0"/>
    <w:pPr>
      <w:jc w:val="left"/>
    </w:pPr>
    <w:rPr>
      <w:rFonts w:eastAsia="宋体"/>
      <w:sz w:val="28"/>
    </w:rPr>
  </w:style>
  <w:style w:type="paragraph" w:styleId="10">
    <w:name w:val="Body Text 3"/>
    <w:basedOn w:val="1"/>
    <w:qFormat/>
    <w:uiPriority w:val="0"/>
    <w:pPr>
      <w:spacing w:after="120"/>
    </w:pPr>
    <w:rPr>
      <w:rFonts w:ascii="Calibri" w:hAnsi="Calibri"/>
      <w:sz w:val="16"/>
      <w:szCs w:val="24"/>
    </w:rPr>
  </w:style>
  <w:style w:type="paragraph" w:styleId="11">
    <w:name w:val="Closing"/>
    <w:basedOn w:val="1"/>
    <w:link w:val="39"/>
    <w:qFormat/>
    <w:uiPriority w:val="0"/>
    <w:pPr>
      <w:ind w:left="100" w:leftChars="2100"/>
    </w:pPr>
    <w:rPr>
      <w:rFonts w:ascii="Calibri" w:hAnsi="Calibri" w:eastAsia="宋体" w:cs="Times New Roman"/>
      <w:sz w:val="24"/>
      <w:szCs w:val="24"/>
    </w:rPr>
  </w:style>
  <w:style w:type="paragraph" w:styleId="12">
    <w:name w:val="Body Text"/>
    <w:basedOn w:val="1"/>
    <w:next w:val="13"/>
    <w:unhideWhenUsed/>
    <w:qFormat/>
    <w:uiPriority w:val="0"/>
    <w:pPr>
      <w:spacing w:after="120"/>
    </w:pPr>
  </w:style>
  <w:style w:type="paragraph" w:styleId="13">
    <w:name w:val="Body Text Indent"/>
    <w:basedOn w:val="1"/>
    <w:next w:val="10"/>
    <w:qFormat/>
    <w:uiPriority w:val="0"/>
    <w:pPr>
      <w:spacing w:line="580" w:lineRule="exact"/>
      <w:ind w:firstLine="656" w:firstLineChars="200"/>
    </w:pPr>
    <w:rPr>
      <w:spacing w:val="4"/>
      <w:sz w:val="32"/>
      <w:szCs w:val="20"/>
    </w:rPr>
  </w:style>
  <w:style w:type="paragraph" w:styleId="14">
    <w:name w:val="toc 3"/>
    <w:basedOn w:val="1"/>
    <w:next w:val="1"/>
    <w:qFormat/>
    <w:uiPriority w:val="39"/>
    <w:pPr>
      <w:ind w:left="840" w:leftChars="400"/>
    </w:pPr>
  </w:style>
  <w:style w:type="paragraph" w:styleId="15">
    <w:name w:val="Plain Text"/>
    <w:basedOn w:val="1"/>
    <w:qFormat/>
    <w:uiPriority w:val="0"/>
    <w:rPr>
      <w:rFonts w:ascii="宋体" w:hAnsi="Courier New" w:cs="Courier New"/>
      <w:szCs w:val="21"/>
    </w:rPr>
  </w:style>
  <w:style w:type="paragraph" w:styleId="16">
    <w:name w:val="Balloon Text"/>
    <w:basedOn w:val="1"/>
    <w:link w:val="33"/>
    <w:qFormat/>
    <w:uiPriority w:val="0"/>
    <w:rPr>
      <w:sz w:val="18"/>
      <w:szCs w:val="18"/>
    </w:rPr>
  </w:style>
  <w:style w:type="paragraph" w:styleId="17">
    <w:name w:val="footer"/>
    <w:basedOn w:val="1"/>
    <w:qFormat/>
    <w:uiPriority w:val="99"/>
    <w:pPr>
      <w:tabs>
        <w:tab w:val="center" w:pos="4153"/>
        <w:tab w:val="right" w:pos="8306"/>
      </w:tabs>
      <w:snapToGrid w:val="0"/>
      <w:jc w:val="left"/>
    </w:pPr>
    <w:rPr>
      <w:sz w:val="18"/>
    </w:rPr>
  </w:style>
  <w:style w:type="paragraph" w:styleId="18">
    <w:name w:val="toc 1"/>
    <w:basedOn w:val="1"/>
    <w:next w:val="1"/>
    <w:qFormat/>
    <w:uiPriority w:val="39"/>
  </w:style>
  <w:style w:type="paragraph" w:styleId="19">
    <w:name w:val="toc 2"/>
    <w:basedOn w:val="1"/>
    <w:next w:val="1"/>
    <w:qFormat/>
    <w:uiPriority w:val="39"/>
    <w:pPr>
      <w:ind w:left="420" w:leftChars="200"/>
    </w:pPr>
  </w:style>
  <w:style w:type="paragraph" w:styleId="20">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21">
    <w:name w:val="annotation subject"/>
    <w:basedOn w:val="9"/>
    <w:next w:val="9"/>
    <w:link w:val="37"/>
    <w:qFormat/>
    <w:uiPriority w:val="0"/>
    <w:rPr>
      <w:b/>
      <w:bCs/>
    </w:rPr>
  </w:style>
  <w:style w:type="paragraph" w:styleId="22">
    <w:name w:val="Body Text First Indent"/>
    <w:qFormat/>
    <w:uiPriority w:val="0"/>
    <w:pPr>
      <w:widowControl w:val="0"/>
      <w:spacing w:after="120" w:line="560" w:lineRule="exact"/>
      <w:ind w:firstLine="420" w:firstLineChars="100"/>
      <w:jc w:val="both"/>
    </w:pPr>
    <w:rPr>
      <w:rFonts w:ascii="Times New Roman" w:hAnsi="Times New Roman" w:eastAsia="宋体" w:cs="Times New Roman"/>
      <w:kern w:val="2"/>
      <w:sz w:val="32"/>
      <w:szCs w:val="22"/>
      <w:lang w:val="en-US" w:eastAsia="zh-CN" w:bidi="ar-SA"/>
    </w:rPr>
  </w:style>
  <w:style w:type="table" w:styleId="24">
    <w:name w:val="Table Gri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character" w:styleId="26">
    <w:name w:val="Strong"/>
    <w:basedOn w:val="25"/>
    <w:qFormat/>
    <w:uiPriority w:val="22"/>
    <w:rPr>
      <w:b/>
    </w:rPr>
  </w:style>
  <w:style w:type="character" w:styleId="27">
    <w:name w:val="Emphasis"/>
    <w:basedOn w:val="25"/>
    <w:qFormat/>
    <w:uiPriority w:val="0"/>
    <w:rPr>
      <w:i/>
    </w:rPr>
  </w:style>
  <w:style w:type="character" w:styleId="28">
    <w:name w:val="Hyperlink"/>
    <w:basedOn w:val="25"/>
    <w:qFormat/>
    <w:uiPriority w:val="99"/>
    <w:rPr>
      <w:color w:val="0000FF"/>
      <w:u w:val="single"/>
    </w:rPr>
  </w:style>
  <w:style w:type="character" w:styleId="29">
    <w:name w:val="annotation reference"/>
    <w:basedOn w:val="25"/>
    <w:qFormat/>
    <w:uiPriority w:val="0"/>
    <w:rPr>
      <w:sz w:val="21"/>
      <w:szCs w:val="21"/>
    </w:rPr>
  </w:style>
  <w:style w:type="paragraph" w:customStyle="1" w:styleId="30">
    <w:name w:val="BodyTextIndent2"/>
    <w:basedOn w:val="1"/>
    <w:qFormat/>
    <w:uiPriority w:val="0"/>
    <w:pPr>
      <w:spacing w:line="480" w:lineRule="auto"/>
      <w:ind w:left="420" w:leftChars="200"/>
    </w:pPr>
    <w:rPr>
      <w:rFonts w:ascii="Times New Roman"/>
    </w:rPr>
  </w:style>
  <w:style w:type="paragraph" w:customStyle="1" w:styleId="31">
    <w:name w:val="_Style 2"/>
    <w:basedOn w:val="3"/>
    <w:next w:val="1"/>
    <w:qFormat/>
    <w:uiPriority w:val="39"/>
    <w:pPr>
      <w:widowControl/>
      <w:spacing w:before="240" w:after="0" w:line="259" w:lineRule="auto"/>
      <w:jc w:val="left"/>
      <w:outlineLvl w:val="9"/>
    </w:pPr>
    <w:rPr>
      <w:rFonts w:ascii="等线 Light" w:hAnsi="等线 Light" w:eastAsia="等线 Light"/>
      <w:b w:val="0"/>
      <w:color w:val="2E74B5"/>
      <w:kern w:val="0"/>
      <w:sz w:val="32"/>
      <w:szCs w:val="32"/>
    </w:rPr>
  </w:style>
  <w:style w:type="paragraph" w:customStyle="1" w:styleId="32">
    <w:name w:val="修订1"/>
    <w:hidden/>
    <w:unhideWhenUsed/>
    <w:qFormat/>
    <w:uiPriority w:val="99"/>
    <w:pPr>
      <w:spacing w:after="160" w:line="278" w:lineRule="auto"/>
    </w:pPr>
    <w:rPr>
      <w:rFonts w:ascii="Calibri" w:hAnsi="Calibri" w:eastAsia="宋体" w:cs="Times New Roman"/>
      <w:kern w:val="2"/>
      <w:sz w:val="21"/>
      <w:szCs w:val="24"/>
      <w:lang w:val="en-US" w:eastAsia="zh-CN" w:bidi="ar-SA"/>
    </w:rPr>
  </w:style>
  <w:style w:type="character" w:customStyle="1" w:styleId="33">
    <w:name w:val="批注框文本 字符"/>
    <w:basedOn w:val="25"/>
    <w:link w:val="16"/>
    <w:qFormat/>
    <w:uiPriority w:val="0"/>
    <w:rPr>
      <w:rFonts w:ascii="仿宋_GB2312" w:hAnsi="仿宋_GB2312" w:eastAsia="仿宋_GB2312" w:cs="仿宋_GB2312"/>
      <w:kern w:val="2"/>
      <w:sz w:val="18"/>
      <w:szCs w:val="18"/>
    </w:rPr>
  </w:style>
  <w:style w:type="paragraph" w:customStyle="1" w:styleId="34">
    <w:name w:val="修订2"/>
    <w:hidden/>
    <w:semiHidden/>
    <w:qFormat/>
    <w:uiPriority w:val="99"/>
    <w:pPr>
      <w:spacing w:after="160" w:line="278" w:lineRule="auto"/>
    </w:pPr>
    <w:rPr>
      <w:rFonts w:ascii="仿宋_GB2312" w:hAnsi="仿宋_GB2312" w:eastAsia="仿宋_GB2312" w:cs="仿宋_GB2312"/>
      <w:kern w:val="2"/>
      <w:sz w:val="30"/>
      <w:szCs w:val="30"/>
      <w:lang w:val="en-US" w:eastAsia="zh-CN" w:bidi="ar-SA"/>
    </w:rPr>
  </w:style>
  <w:style w:type="paragraph" w:styleId="35">
    <w:name w:val="List Paragraph"/>
    <w:basedOn w:val="1"/>
    <w:qFormat/>
    <w:uiPriority w:val="99"/>
    <w:pPr>
      <w:ind w:firstLine="420" w:firstLineChars="200"/>
    </w:pPr>
  </w:style>
  <w:style w:type="character" w:customStyle="1" w:styleId="36">
    <w:name w:val="批注文字 字符"/>
    <w:basedOn w:val="25"/>
    <w:link w:val="9"/>
    <w:qFormat/>
    <w:uiPriority w:val="0"/>
    <w:rPr>
      <w:rFonts w:ascii="仿宋_GB2312" w:hAnsi="仿宋_GB2312" w:cs="仿宋_GB2312"/>
      <w:kern w:val="2"/>
      <w:sz w:val="28"/>
      <w:szCs w:val="30"/>
    </w:rPr>
  </w:style>
  <w:style w:type="character" w:customStyle="1" w:styleId="37">
    <w:name w:val="批注主题 字符"/>
    <w:basedOn w:val="36"/>
    <w:link w:val="21"/>
    <w:qFormat/>
    <w:uiPriority w:val="0"/>
    <w:rPr>
      <w:rFonts w:ascii="仿宋_GB2312" w:hAnsi="仿宋_GB2312" w:eastAsia="仿宋_GB2312" w:cs="仿宋_GB2312"/>
      <w:b/>
      <w:bCs/>
      <w:kern w:val="2"/>
      <w:sz w:val="30"/>
      <w:szCs w:val="30"/>
    </w:rPr>
  </w:style>
  <w:style w:type="paragraph" w:customStyle="1" w:styleId="38">
    <w:name w:val="修订3"/>
    <w:hidden/>
    <w:semiHidden/>
    <w:qFormat/>
    <w:uiPriority w:val="99"/>
    <w:pPr>
      <w:spacing w:after="160" w:line="278" w:lineRule="auto"/>
    </w:pPr>
    <w:rPr>
      <w:rFonts w:ascii="仿宋_GB2312" w:hAnsi="仿宋_GB2312" w:eastAsia="仿宋_GB2312" w:cs="仿宋_GB2312"/>
      <w:kern w:val="2"/>
      <w:sz w:val="30"/>
      <w:szCs w:val="30"/>
      <w:lang w:val="en-US" w:eastAsia="zh-CN" w:bidi="ar-SA"/>
    </w:rPr>
  </w:style>
  <w:style w:type="character" w:customStyle="1" w:styleId="39">
    <w:name w:val="结束语 字符"/>
    <w:basedOn w:val="25"/>
    <w:link w:val="11"/>
    <w:qFormat/>
    <w:uiPriority w:val="0"/>
    <w:rPr>
      <w:rFonts w:ascii="Calibri" w:hAnsi="Calibri"/>
      <w:kern w:val="2"/>
      <w:sz w:val="24"/>
      <w:szCs w:val="24"/>
    </w:rPr>
  </w:style>
  <w:style w:type="paragraph" w:customStyle="1" w:styleId="40">
    <w:name w:val="修订4"/>
    <w:hidden/>
    <w:unhideWhenUsed/>
    <w:qFormat/>
    <w:uiPriority w:val="99"/>
    <w:pPr>
      <w:spacing w:after="160" w:line="278" w:lineRule="auto"/>
    </w:pPr>
    <w:rPr>
      <w:rFonts w:ascii="仿宋_GB2312" w:hAnsi="仿宋_GB2312" w:eastAsia="仿宋_GB2312" w:cs="仿宋_GB2312"/>
      <w:kern w:val="2"/>
      <w:sz w:val="30"/>
      <w:szCs w:val="30"/>
      <w:lang w:val="en-US" w:eastAsia="zh-CN" w:bidi="ar-SA"/>
    </w:rPr>
  </w:style>
  <w:style w:type="paragraph" w:customStyle="1" w:styleId="41">
    <w:name w:val="Revision"/>
    <w:hidden/>
    <w:unhideWhenUsed/>
    <w:qFormat/>
    <w:uiPriority w:val="99"/>
    <w:pPr>
      <w:spacing w:after="0" w:line="240" w:lineRule="auto"/>
    </w:pPr>
    <w:rPr>
      <w:rFonts w:ascii="仿宋_GB2312" w:hAnsi="仿宋_GB2312" w:eastAsia="仿宋_GB2312" w:cs="仿宋_GB2312"/>
      <w:kern w:val="2"/>
      <w:sz w:val="30"/>
      <w:szCs w:val="30"/>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LG</Company>
  <Pages>9</Pages>
  <Words>3652</Words>
  <Characters>3660</Characters>
  <Lines>93</Lines>
  <Paragraphs>61</Paragraphs>
  <TotalTime>232</TotalTime>
  <ScaleCrop>false</ScaleCrop>
  <LinksUpToDate>false</LinksUpToDate>
  <CharactersWithSpaces>3670</CharactersWithSpaces>
  <Application>WPS Office_11.8.2.10489_F1E327BC-269C-435d-A152-05C5408002CA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2014-11-30T04:08:00Z</dcterms:created>
  <dc:creator>Administrator</dc:creator>
  <cp:lastModifiedBy>wangyuyan1</cp:lastModifiedBy>
  <cp:lastPrinted>2026-07-04T14:28:00Z</cp:lastPrinted>
  <dcterms:modified xsi:type="dcterms:W3CDTF">2026-09-09T09:26:31Z</dcterms:modified>
  <cp:revision>419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2052-11.8.2.10489</vt:lpwstr>
  </property>
  <property fmtid="{D5CDD505-2E9C-101B-9397-08002B2CF9AE}" pid="3" name="KSOTemplateDocerSaveRecord">
    <vt:lpwstr>eyJoZGlkIjoiZDIyMDJkNzllM2ZmOThkOTY5YjYzZTJjMGVhZDNiMDEiLCJ1c2VySWQiOiIyNTE0NTkzMzYifQ==</vt:lpwstr>
  </property>
  <property fmtid="{D5CDD505-2E9C-101B-9397-08002B2CF9AE}" pid="4" name="ICV">
    <vt:lpwstr>2D0112831D87FDEE9D21D669752D7CE6_43</vt:lpwstr>
  </property>
</Properties>
</file>